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E72D1" w14:textId="77777777" w:rsidR="00035D72" w:rsidRDefault="00035D72">
      <w:pPr>
        <w:spacing w:before="2"/>
        <w:ind w:left="392"/>
        <w:rPr>
          <w:rFonts w:ascii="Arial" w:hAnsi="Arial" w:cs="Arial"/>
          <w:b/>
          <w:sz w:val="36"/>
          <w:szCs w:val="20"/>
        </w:rPr>
      </w:pPr>
    </w:p>
    <w:p w14:paraId="6B360B27" w14:textId="73EE1E61" w:rsidR="00F10200" w:rsidRDefault="00D90F40" w:rsidP="005930DA">
      <w:pPr>
        <w:jc w:val="both"/>
        <w:rPr>
          <w:rFonts w:ascii="Arial" w:hAnsi="Arial" w:cs="Arial"/>
          <w:b/>
          <w:sz w:val="36"/>
          <w:szCs w:val="36"/>
        </w:rPr>
      </w:pPr>
      <w:r w:rsidRPr="5CF6AF8F">
        <w:rPr>
          <w:rFonts w:ascii="Arial" w:hAnsi="Arial" w:cs="Arial"/>
          <w:b/>
          <w:sz w:val="36"/>
          <w:szCs w:val="36"/>
        </w:rPr>
        <w:t>Board Risk Committee Terms</w:t>
      </w:r>
      <w:r w:rsidR="00C26FD2" w:rsidRPr="5CF6AF8F">
        <w:rPr>
          <w:rFonts w:ascii="Arial" w:hAnsi="Arial" w:cs="Arial"/>
          <w:b/>
          <w:sz w:val="36"/>
          <w:szCs w:val="36"/>
        </w:rPr>
        <w:t xml:space="preserve"> </w:t>
      </w:r>
      <w:r w:rsidRPr="5CF6AF8F">
        <w:rPr>
          <w:rFonts w:ascii="Arial" w:hAnsi="Arial" w:cs="Arial"/>
          <w:b/>
          <w:sz w:val="36"/>
          <w:szCs w:val="36"/>
        </w:rPr>
        <w:t>of</w:t>
      </w:r>
      <w:r w:rsidRPr="5CF6AF8F">
        <w:rPr>
          <w:rFonts w:ascii="Arial" w:hAnsi="Arial" w:cs="Arial"/>
          <w:b/>
          <w:spacing w:val="-54"/>
          <w:sz w:val="36"/>
          <w:szCs w:val="36"/>
        </w:rPr>
        <w:t xml:space="preserve"> </w:t>
      </w:r>
      <w:r w:rsidRPr="5CF6AF8F">
        <w:rPr>
          <w:rFonts w:ascii="Arial" w:hAnsi="Arial" w:cs="Arial"/>
          <w:b/>
          <w:sz w:val="36"/>
          <w:szCs w:val="36"/>
        </w:rPr>
        <w:t>Reference</w:t>
      </w:r>
    </w:p>
    <w:p w14:paraId="5AD189C2" w14:textId="77777777" w:rsidR="00E060B6" w:rsidRPr="00600E61" w:rsidRDefault="00E060B6" w:rsidP="000F15DC">
      <w:pPr>
        <w:pStyle w:val="BodyText"/>
        <w:spacing w:before="2"/>
        <w:rPr>
          <w:rFonts w:ascii="Arial" w:hAnsi="Arial" w:cs="Arial"/>
        </w:rPr>
      </w:pPr>
    </w:p>
    <w:p w14:paraId="17F06545" w14:textId="03221F72" w:rsidR="00F10200" w:rsidRDefault="00F10200" w:rsidP="00902B28">
      <w:pPr>
        <w:pStyle w:val="BodyText"/>
        <w:ind w:left="284"/>
        <w:jc w:val="both"/>
        <w:rPr>
          <w:rFonts w:ascii="Arial" w:hAnsi="Arial" w:cs="Arial"/>
          <w:sz w:val="26"/>
        </w:rPr>
      </w:pPr>
    </w:p>
    <w:p w14:paraId="51512554" w14:textId="0A5C0C8D" w:rsidR="00194D48" w:rsidRDefault="00194D48" w:rsidP="00194D48">
      <w:pPr>
        <w:pStyle w:val="BodyText"/>
        <w:jc w:val="both"/>
        <w:rPr>
          <w:rFonts w:ascii="Arial" w:hAnsi="Arial" w:cs="Arial"/>
        </w:rPr>
      </w:pPr>
      <w:r w:rsidRPr="00600E61">
        <w:rPr>
          <w:rFonts w:ascii="Arial" w:hAnsi="Arial" w:cs="Arial"/>
        </w:rPr>
        <w:t>The</w:t>
      </w:r>
      <w:r w:rsidRPr="00600E61">
        <w:rPr>
          <w:rFonts w:ascii="Arial" w:hAnsi="Arial" w:cs="Arial"/>
          <w:spacing w:val="-7"/>
        </w:rPr>
        <w:t xml:space="preserve"> </w:t>
      </w:r>
      <w:r>
        <w:rPr>
          <w:rFonts w:ascii="Arial" w:hAnsi="Arial" w:cs="Arial"/>
          <w:spacing w:val="-7"/>
        </w:rPr>
        <w:t xml:space="preserve">Board Risk </w:t>
      </w:r>
      <w:r w:rsidRPr="00600E61">
        <w:rPr>
          <w:rFonts w:ascii="Arial" w:hAnsi="Arial" w:cs="Arial"/>
        </w:rPr>
        <w:t>Committee</w:t>
      </w:r>
      <w:r>
        <w:rPr>
          <w:rFonts w:ascii="Arial" w:hAnsi="Arial" w:cs="Arial"/>
        </w:rPr>
        <w:t xml:space="preserve"> (the “Committee”</w:t>
      </w:r>
      <w:r w:rsidRPr="00600E61">
        <w:rPr>
          <w:rFonts w:ascii="Arial" w:hAnsi="Arial" w:cs="Arial"/>
          <w:spacing w:val="-8"/>
        </w:rPr>
        <w:t xml:space="preserve"> </w:t>
      </w:r>
      <w:r w:rsidRPr="00600E61">
        <w:rPr>
          <w:rFonts w:ascii="Arial" w:hAnsi="Arial" w:cs="Arial"/>
        </w:rPr>
        <w:t>is</w:t>
      </w:r>
      <w:r w:rsidRPr="00600E61">
        <w:rPr>
          <w:rFonts w:ascii="Arial" w:hAnsi="Arial" w:cs="Arial"/>
          <w:spacing w:val="-9"/>
        </w:rPr>
        <w:t xml:space="preserve"> </w:t>
      </w:r>
      <w:r w:rsidRPr="00600E61">
        <w:rPr>
          <w:rFonts w:ascii="Arial" w:hAnsi="Arial" w:cs="Arial"/>
        </w:rPr>
        <w:t>a</w:t>
      </w:r>
      <w:r w:rsidRPr="00600E61">
        <w:rPr>
          <w:rFonts w:ascii="Arial" w:hAnsi="Arial" w:cs="Arial"/>
          <w:spacing w:val="-6"/>
        </w:rPr>
        <w:t xml:space="preserve"> </w:t>
      </w:r>
      <w:r w:rsidRPr="00600E61">
        <w:rPr>
          <w:rFonts w:ascii="Arial" w:hAnsi="Arial" w:cs="Arial"/>
        </w:rPr>
        <w:t>Committee</w:t>
      </w:r>
      <w:r w:rsidRPr="00600E61">
        <w:rPr>
          <w:rFonts w:ascii="Arial" w:hAnsi="Arial" w:cs="Arial"/>
          <w:spacing w:val="-7"/>
        </w:rPr>
        <w:t xml:space="preserve"> </w:t>
      </w:r>
      <w:r w:rsidRPr="00600E61">
        <w:rPr>
          <w:rFonts w:ascii="Arial" w:hAnsi="Arial" w:cs="Arial"/>
        </w:rPr>
        <w:t>of</w:t>
      </w:r>
      <w:r w:rsidRPr="00600E61">
        <w:rPr>
          <w:rFonts w:ascii="Arial" w:hAnsi="Arial" w:cs="Arial"/>
          <w:spacing w:val="-6"/>
        </w:rPr>
        <w:t xml:space="preserve"> </w:t>
      </w:r>
      <w:r w:rsidRPr="00600E61">
        <w:rPr>
          <w:rFonts w:ascii="Arial" w:hAnsi="Arial" w:cs="Arial"/>
        </w:rPr>
        <w:t>the</w:t>
      </w:r>
      <w:r w:rsidRPr="00600E61">
        <w:rPr>
          <w:rFonts w:ascii="Arial" w:hAnsi="Arial" w:cs="Arial"/>
          <w:spacing w:val="-7"/>
        </w:rPr>
        <w:t xml:space="preserve"> </w:t>
      </w:r>
      <w:r w:rsidRPr="00600E61">
        <w:rPr>
          <w:rFonts w:ascii="Arial" w:hAnsi="Arial" w:cs="Arial"/>
        </w:rPr>
        <w:t>Board</w:t>
      </w:r>
      <w:r w:rsidRPr="00600E61">
        <w:rPr>
          <w:rFonts w:ascii="Arial" w:hAnsi="Arial" w:cs="Arial"/>
          <w:spacing w:val="-6"/>
        </w:rPr>
        <w:t xml:space="preserve"> </w:t>
      </w:r>
      <w:r w:rsidRPr="00600E61">
        <w:rPr>
          <w:rFonts w:ascii="Arial" w:hAnsi="Arial" w:cs="Arial"/>
        </w:rPr>
        <w:t>from</w:t>
      </w:r>
      <w:r w:rsidRPr="00600E61">
        <w:rPr>
          <w:rFonts w:ascii="Arial" w:hAnsi="Arial" w:cs="Arial"/>
          <w:spacing w:val="-6"/>
        </w:rPr>
        <w:t xml:space="preserve"> </w:t>
      </w:r>
      <w:r w:rsidRPr="00600E61">
        <w:rPr>
          <w:rFonts w:ascii="Arial" w:hAnsi="Arial" w:cs="Arial"/>
        </w:rPr>
        <w:t>which</w:t>
      </w:r>
      <w:r w:rsidRPr="00600E61">
        <w:rPr>
          <w:rFonts w:ascii="Arial" w:hAnsi="Arial" w:cs="Arial"/>
          <w:spacing w:val="-9"/>
        </w:rPr>
        <w:t xml:space="preserve"> </w:t>
      </w:r>
      <w:r w:rsidRPr="00600E61">
        <w:rPr>
          <w:rFonts w:ascii="Arial" w:hAnsi="Arial" w:cs="Arial"/>
        </w:rPr>
        <w:t>it</w:t>
      </w:r>
      <w:r w:rsidRPr="00600E61">
        <w:rPr>
          <w:rFonts w:ascii="Arial" w:hAnsi="Arial" w:cs="Arial"/>
          <w:spacing w:val="-8"/>
        </w:rPr>
        <w:t xml:space="preserve"> </w:t>
      </w:r>
      <w:r w:rsidRPr="00600E61">
        <w:rPr>
          <w:rFonts w:ascii="Arial" w:hAnsi="Arial" w:cs="Arial"/>
        </w:rPr>
        <w:t>derives</w:t>
      </w:r>
      <w:r w:rsidRPr="00600E61">
        <w:rPr>
          <w:rFonts w:ascii="Arial" w:hAnsi="Arial" w:cs="Arial"/>
          <w:spacing w:val="-8"/>
        </w:rPr>
        <w:t xml:space="preserve"> </w:t>
      </w:r>
      <w:r w:rsidRPr="00600E61">
        <w:rPr>
          <w:rFonts w:ascii="Arial" w:hAnsi="Arial" w:cs="Arial"/>
        </w:rPr>
        <w:t>its</w:t>
      </w:r>
      <w:r w:rsidRPr="00600E61">
        <w:rPr>
          <w:rFonts w:ascii="Arial" w:hAnsi="Arial" w:cs="Arial"/>
          <w:spacing w:val="-9"/>
        </w:rPr>
        <w:t xml:space="preserve"> </w:t>
      </w:r>
      <w:r w:rsidRPr="00600E61">
        <w:rPr>
          <w:rFonts w:ascii="Arial" w:hAnsi="Arial" w:cs="Arial"/>
        </w:rPr>
        <w:t>authority</w:t>
      </w:r>
      <w:r w:rsidRPr="00600E61">
        <w:rPr>
          <w:rFonts w:ascii="Arial" w:hAnsi="Arial" w:cs="Arial"/>
          <w:spacing w:val="-7"/>
        </w:rPr>
        <w:t xml:space="preserve"> </w:t>
      </w:r>
      <w:r w:rsidRPr="00600E61">
        <w:rPr>
          <w:rFonts w:ascii="Arial" w:hAnsi="Arial" w:cs="Arial"/>
        </w:rPr>
        <w:t>and</w:t>
      </w:r>
      <w:r w:rsidRPr="00600E61">
        <w:rPr>
          <w:rFonts w:ascii="Arial" w:hAnsi="Arial" w:cs="Arial"/>
          <w:spacing w:val="-7"/>
        </w:rPr>
        <w:t xml:space="preserve"> </w:t>
      </w:r>
      <w:r w:rsidRPr="00600E61">
        <w:rPr>
          <w:rFonts w:ascii="Arial" w:hAnsi="Arial" w:cs="Arial"/>
        </w:rPr>
        <w:t>to which it regularly</w:t>
      </w:r>
      <w:r w:rsidRPr="00600E61">
        <w:rPr>
          <w:rFonts w:ascii="Arial" w:hAnsi="Arial" w:cs="Arial"/>
          <w:spacing w:val="-9"/>
        </w:rPr>
        <w:t xml:space="preserve"> </w:t>
      </w:r>
      <w:r w:rsidRPr="00600E61">
        <w:rPr>
          <w:rFonts w:ascii="Arial" w:hAnsi="Arial" w:cs="Arial"/>
        </w:rPr>
        <w:t>reports.</w:t>
      </w:r>
    </w:p>
    <w:p w14:paraId="4F1D0BE4" w14:textId="00E7675C" w:rsidR="00194D48" w:rsidRDefault="00194D48" w:rsidP="005930DA">
      <w:pPr>
        <w:pStyle w:val="BodyText"/>
        <w:jc w:val="both"/>
        <w:rPr>
          <w:rFonts w:ascii="Arial" w:hAnsi="Arial" w:cs="Arial"/>
          <w:sz w:val="26"/>
        </w:rPr>
      </w:pPr>
    </w:p>
    <w:p w14:paraId="4874D504" w14:textId="6CFEA232" w:rsidR="00194D48" w:rsidRDefault="00194D48" w:rsidP="005930DA">
      <w:pPr>
        <w:pStyle w:val="BodyText"/>
        <w:jc w:val="both"/>
        <w:rPr>
          <w:rFonts w:ascii="Arial" w:hAnsi="Arial" w:cs="Arial"/>
          <w:sz w:val="26"/>
        </w:rPr>
      </w:pPr>
      <w:r w:rsidRPr="00600E61">
        <w:rPr>
          <w:rFonts w:ascii="Arial" w:hAnsi="Arial" w:cs="Arial"/>
        </w:rPr>
        <w:t>The Committee shall undertake these responsibilities for the IG Group as a whole and where relevant for the individual entities forming part of the IG Group, in particular in respect of</w:t>
      </w:r>
      <w:r w:rsidR="001B7C40">
        <w:rPr>
          <w:rFonts w:ascii="Arial" w:hAnsi="Arial" w:cs="Arial"/>
        </w:rPr>
        <w:t xml:space="preserve"> </w:t>
      </w:r>
      <w:r w:rsidR="0000784E">
        <w:rPr>
          <w:rFonts w:ascii="Arial" w:hAnsi="Arial" w:cs="Arial"/>
        </w:rPr>
        <w:t>IG Markets Limited (“</w:t>
      </w:r>
      <w:r>
        <w:rPr>
          <w:rFonts w:ascii="Arial" w:hAnsi="Arial" w:cs="Arial"/>
        </w:rPr>
        <w:t>IGM</w:t>
      </w:r>
      <w:r w:rsidR="0000784E">
        <w:rPr>
          <w:rFonts w:ascii="Arial" w:hAnsi="Arial" w:cs="Arial"/>
        </w:rPr>
        <w:t>”)</w:t>
      </w:r>
      <w:r>
        <w:rPr>
          <w:rFonts w:ascii="Arial" w:hAnsi="Arial" w:cs="Arial"/>
        </w:rPr>
        <w:t>,</w:t>
      </w:r>
      <w:r w:rsidRPr="00600E61">
        <w:rPr>
          <w:rFonts w:ascii="Arial" w:hAnsi="Arial" w:cs="Arial"/>
        </w:rPr>
        <w:t xml:space="preserve"> </w:t>
      </w:r>
      <w:r w:rsidR="0000784E">
        <w:rPr>
          <w:rFonts w:ascii="Arial" w:hAnsi="Arial" w:cs="Arial"/>
        </w:rPr>
        <w:t>IG Index Limited (“</w:t>
      </w:r>
      <w:r>
        <w:rPr>
          <w:rFonts w:ascii="Arial" w:hAnsi="Arial" w:cs="Arial"/>
        </w:rPr>
        <w:t>IGI</w:t>
      </w:r>
      <w:r w:rsidR="0000784E">
        <w:rPr>
          <w:rFonts w:ascii="Arial" w:hAnsi="Arial" w:cs="Arial"/>
        </w:rPr>
        <w:t>”)</w:t>
      </w:r>
      <w:r>
        <w:rPr>
          <w:rFonts w:ascii="Arial" w:hAnsi="Arial" w:cs="Arial"/>
        </w:rPr>
        <w:t xml:space="preserve"> and </w:t>
      </w:r>
      <w:r w:rsidR="0000784E">
        <w:rPr>
          <w:rFonts w:ascii="Arial" w:hAnsi="Arial" w:cs="Arial"/>
        </w:rPr>
        <w:t>IG Trading and Investments Limited (“</w:t>
      </w:r>
      <w:r>
        <w:rPr>
          <w:rFonts w:ascii="Arial" w:hAnsi="Arial" w:cs="Arial"/>
        </w:rPr>
        <w:t>IG T&amp;I</w:t>
      </w:r>
      <w:r w:rsidR="0000784E">
        <w:rPr>
          <w:rFonts w:ascii="Arial" w:hAnsi="Arial" w:cs="Arial"/>
        </w:rPr>
        <w:t>”)</w:t>
      </w:r>
      <w:r w:rsidRPr="00600E61">
        <w:rPr>
          <w:rFonts w:ascii="Arial" w:hAnsi="Arial" w:cs="Arial"/>
        </w:rPr>
        <w:t xml:space="preserve"> under </w:t>
      </w:r>
      <w:r w:rsidRPr="00AF27DC">
        <w:rPr>
          <w:rFonts w:ascii="Arial" w:hAnsi="Arial" w:cs="Arial"/>
        </w:rPr>
        <w:t xml:space="preserve">MIFIDPRU 7.3 </w:t>
      </w:r>
      <w:r>
        <w:rPr>
          <w:rFonts w:ascii="Arial" w:hAnsi="Arial" w:cs="Arial"/>
        </w:rPr>
        <w:t xml:space="preserve">(formerly </w:t>
      </w:r>
      <w:r w:rsidRPr="00600E61">
        <w:rPr>
          <w:rFonts w:ascii="Arial" w:hAnsi="Arial" w:cs="Arial"/>
        </w:rPr>
        <w:t>SYSC 7.1</w:t>
      </w:r>
      <w:r>
        <w:rPr>
          <w:rFonts w:ascii="Arial" w:hAnsi="Arial" w:cs="Arial"/>
        </w:rPr>
        <w:t>)</w:t>
      </w:r>
      <w:r w:rsidRPr="00600E61">
        <w:rPr>
          <w:rFonts w:ascii="Arial" w:hAnsi="Arial" w:cs="Arial"/>
        </w:rPr>
        <w:t xml:space="preserve">.  In undertaking its responsibilities in respect of </w:t>
      </w:r>
      <w:r>
        <w:rPr>
          <w:rFonts w:ascii="Arial" w:hAnsi="Arial" w:cs="Arial"/>
        </w:rPr>
        <w:t xml:space="preserve">IGM, IGI and IG T&amp;I, </w:t>
      </w:r>
      <w:r w:rsidRPr="00600E61">
        <w:rPr>
          <w:rFonts w:ascii="Arial" w:hAnsi="Arial" w:cs="Arial"/>
        </w:rPr>
        <w:t xml:space="preserve">the Committee will advise the boards of those legal entities on their current and future risk appetite and assist those boards in overseeing the implementation of that strategy by senior management. </w:t>
      </w:r>
    </w:p>
    <w:p w14:paraId="667FAE31" w14:textId="77777777" w:rsidR="00194D48" w:rsidRDefault="00194D48" w:rsidP="005930DA">
      <w:pPr>
        <w:pStyle w:val="BodyText"/>
        <w:jc w:val="both"/>
        <w:rPr>
          <w:rFonts w:ascii="Arial" w:hAnsi="Arial" w:cs="Arial"/>
          <w:sz w:val="26"/>
        </w:rPr>
      </w:pPr>
    </w:p>
    <w:p w14:paraId="497EC7FB" w14:textId="546F23EB" w:rsidR="00F10200" w:rsidRPr="00600E61" w:rsidRDefault="00D90F40" w:rsidP="004D05C6">
      <w:pPr>
        <w:pStyle w:val="BodyText"/>
        <w:jc w:val="both"/>
        <w:rPr>
          <w:rFonts w:ascii="Arial" w:hAnsi="Arial" w:cs="Arial"/>
        </w:rPr>
      </w:pPr>
      <w:r w:rsidRPr="00600E61">
        <w:rPr>
          <w:rFonts w:ascii="Arial" w:hAnsi="Arial" w:cs="Arial"/>
        </w:rPr>
        <w:t>The Purpose of the Committee is to:</w:t>
      </w:r>
    </w:p>
    <w:p w14:paraId="1FCAC759" w14:textId="77777777" w:rsidR="00F10200" w:rsidRPr="00600E61" w:rsidRDefault="00F10200" w:rsidP="005930DA">
      <w:pPr>
        <w:pStyle w:val="BodyText"/>
        <w:jc w:val="both"/>
        <w:rPr>
          <w:rFonts w:ascii="Arial" w:hAnsi="Arial" w:cs="Arial"/>
        </w:rPr>
      </w:pPr>
    </w:p>
    <w:p w14:paraId="414E5422" w14:textId="1F50ED45" w:rsidR="00F10200" w:rsidRPr="00600E61" w:rsidRDefault="009F2106" w:rsidP="004D05C6">
      <w:pPr>
        <w:pStyle w:val="ListParagraph"/>
        <w:numPr>
          <w:ilvl w:val="1"/>
          <w:numId w:val="11"/>
        </w:numPr>
        <w:ind w:left="851"/>
        <w:jc w:val="both"/>
        <w:rPr>
          <w:rFonts w:ascii="Arial" w:hAnsi="Arial" w:cs="Arial"/>
        </w:rPr>
      </w:pPr>
      <w:r>
        <w:rPr>
          <w:rFonts w:ascii="Arial" w:hAnsi="Arial" w:cs="Arial"/>
        </w:rPr>
        <w:t>p</w:t>
      </w:r>
      <w:r w:rsidR="00D90F40" w:rsidRPr="00600E61">
        <w:rPr>
          <w:rFonts w:ascii="Arial" w:hAnsi="Arial" w:cs="Arial"/>
        </w:rPr>
        <w:t>rovide</w:t>
      </w:r>
      <w:r w:rsidR="00D90F40" w:rsidRPr="00600E61">
        <w:rPr>
          <w:rFonts w:ascii="Arial" w:hAnsi="Arial" w:cs="Arial"/>
          <w:spacing w:val="-7"/>
        </w:rPr>
        <w:t xml:space="preserve"> </w:t>
      </w:r>
      <w:r w:rsidR="00D90F40" w:rsidRPr="00600E61">
        <w:rPr>
          <w:rFonts w:ascii="Arial" w:hAnsi="Arial" w:cs="Arial"/>
        </w:rPr>
        <w:t>oversight</w:t>
      </w:r>
      <w:r w:rsidR="00D90F40" w:rsidRPr="00600E61">
        <w:rPr>
          <w:rFonts w:ascii="Arial" w:hAnsi="Arial" w:cs="Arial"/>
          <w:spacing w:val="-8"/>
        </w:rPr>
        <w:t xml:space="preserve"> </w:t>
      </w:r>
      <w:r w:rsidR="00D90F40" w:rsidRPr="00600E61">
        <w:rPr>
          <w:rFonts w:ascii="Arial" w:hAnsi="Arial" w:cs="Arial"/>
        </w:rPr>
        <w:t>and</w:t>
      </w:r>
      <w:r w:rsidR="00D90F40" w:rsidRPr="00600E61">
        <w:rPr>
          <w:rFonts w:ascii="Arial" w:hAnsi="Arial" w:cs="Arial"/>
          <w:spacing w:val="-7"/>
        </w:rPr>
        <w:t xml:space="preserve"> </w:t>
      </w:r>
      <w:r w:rsidR="00D90F40" w:rsidRPr="00600E61">
        <w:rPr>
          <w:rFonts w:ascii="Arial" w:hAnsi="Arial" w:cs="Arial"/>
        </w:rPr>
        <w:t>advice</w:t>
      </w:r>
      <w:r w:rsidR="00D90F40" w:rsidRPr="00600E61">
        <w:rPr>
          <w:rFonts w:ascii="Arial" w:hAnsi="Arial" w:cs="Arial"/>
          <w:spacing w:val="-7"/>
        </w:rPr>
        <w:t xml:space="preserve"> </w:t>
      </w:r>
      <w:r w:rsidR="00D90F40" w:rsidRPr="00600E61">
        <w:rPr>
          <w:rFonts w:ascii="Arial" w:hAnsi="Arial" w:cs="Arial"/>
        </w:rPr>
        <w:t>to</w:t>
      </w:r>
      <w:r w:rsidR="00D90F40" w:rsidRPr="00600E61">
        <w:rPr>
          <w:rFonts w:ascii="Arial" w:hAnsi="Arial" w:cs="Arial"/>
          <w:spacing w:val="-7"/>
        </w:rPr>
        <w:t xml:space="preserve"> </w:t>
      </w:r>
      <w:r w:rsidR="00D90F40" w:rsidRPr="00600E61">
        <w:rPr>
          <w:rFonts w:ascii="Arial" w:hAnsi="Arial" w:cs="Arial"/>
        </w:rPr>
        <w:t>the</w:t>
      </w:r>
      <w:r w:rsidR="00D90F40" w:rsidRPr="00600E61">
        <w:rPr>
          <w:rFonts w:ascii="Arial" w:hAnsi="Arial" w:cs="Arial"/>
          <w:spacing w:val="-7"/>
        </w:rPr>
        <w:t xml:space="preserve"> </w:t>
      </w:r>
      <w:r w:rsidR="00D90F40" w:rsidRPr="00600E61">
        <w:rPr>
          <w:rFonts w:ascii="Arial" w:hAnsi="Arial" w:cs="Arial"/>
        </w:rPr>
        <w:t>Board</w:t>
      </w:r>
      <w:r w:rsidR="00D90F40" w:rsidRPr="00600E61">
        <w:rPr>
          <w:rFonts w:ascii="Arial" w:hAnsi="Arial" w:cs="Arial"/>
          <w:spacing w:val="-7"/>
        </w:rPr>
        <w:t xml:space="preserve"> </w:t>
      </w:r>
      <w:r w:rsidR="00D90F40" w:rsidRPr="00600E61">
        <w:rPr>
          <w:rFonts w:ascii="Arial" w:hAnsi="Arial" w:cs="Arial"/>
        </w:rPr>
        <w:t>in</w:t>
      </w:r>
      <w:r w:rsidR="00D90F40" w:rsidRPr="00600E61">
        <w:rPr>
          <w:rFonts w:ascii="Arial" w:hAnsi="Arial" w:cs="Arial"/>
          <w:spacing w:val="-7"/>
        </w:rPr>
        <w:t xml:space="preserve"> </w:t>
      </w:r>
      <w:r w:rsidR="00D90F40" w:rsidRPr="00600E61">
        <w:rPr>
          <w:rFonts w:ascii="Arial" w:hAnsi="Arial" w:cs="Arial"/>
        </w:rPr>
        <w:t>relation</w:t>
      </w:r>
      <w:r w:rsidR="00D90F40" w:rsidRPr="00600E61">
        <w:rPr>
          <w:rFonts w:ascii="Arial" w:hAnsi="Arial" w:cs="Arial"/>
          <w:spacing w:val="-6"/>
        </w:rPr>
        <w:t xml:space="preserve"> </w:t>
      </w:r>
      <w:r w:rsidR="00D90F40" w:rsidRPr="00600E61">
        <w:rPr>
          <w:rFonts w:ascii="Arial" w:hAnsi="Arial" w:cs="Arial"/>
        </w:rPr>
        <w:t>to</w:t>
      </w:r>
      <w:r w:rsidR="00D90F40" w:rsidRPr="00600E61">
        <w:rPr>
          <w:rFonts w:ascii="Arial" w:hAnsi="Arial" w:cs="Arial"/>
          <w:spacing w:val="-8"/>
        </w:rPr>
        <w:t xml:space="preserve"> </w:t>
      </w:r>
      <w:r w:rsidR="00D90F40" w:rsidRPr="00600E61">
        <w:rPr>
          <w:rFonts w:ascii="Arial" w:hAnsi="Arial" w:cs="Arial"/>
        </w:rPr>
        <w:t>current</w:t>
      </w:r>
      <w:r w:rsidR="00D90F40" w:rsidRPr="00600E61">
        <w:rPr>
          <w:rFonts w:ascii="Arial" w:hAnsi="Arial" w:cs="Arial"/>
          <w:spacing w:val="-7"/>
        </w:rPr>
        <w:t xml:space="preserve"> </w:t>
      </w:r>
      <w:r w:rsidR="00D90F40" w:rsidRPr="00600E61">
        <w:rPr>
          <w:rFonts w:ascii="Arial" w:hAnsi="Arial" w:cs="Arial"/>
        </w:rPr>
        <w:t>and</w:t>
      </w:r>
      <w:r w:rsidR="00D90F40" w:rsidRPr="00600E61">
        <w:rPr>
          <w:rFonts w:ascii="Arial" w:hAnsi="Arial" w:cs="Arial"/>
          <w:spacing w:val="-7"/>
        </w:rPr>
        <w:t xml:space="preserve"> </w:t>
      </w:r>
      <w:r w:rsidR="00D90F40" w:rsidRPr="00600E61">
        <w:rPr>
          <w:rFonts w:ascii="Arial" w:hAnsi="Arial" w:cs="Arial"/>
        </w:rPr>
        <w:t xml:space="preserve">potential future risk exposures of the </w:t>
      </w:r>
      <w:r w:rsidR="003F6447" w:rsidRPr="00600E61">
        <w:rPr>
          <w:rFonts w:ascii="Arial" w:hAnsi="Arial" w:cs="Arial"/>
        </w:rPr>
        <w:t>IG G</w:t>
      </w:r>
      <w:r w:rsidR="00D90F40" w:rsidRPr="00600E61">
        <w:rPr>
          <w:rFonts w:ascii="Arial" w:hAnsi="Arial" w:cs="Arial"/>
        </w:rPr>
        <w:t>roup and future risk strategy, including determination of risk appetite and tolerance, taking into account the</w:t>
      </w:r>
      <w:r w:rsidR="00D90F40" w:rsidRPr="00600E61">
        <w:rPr>
          <w:rFonts w:ascii="Arial" w:hAnsi="Arial" w:cs="Arial"/>
          <w:spacing w:val="-41"/>
        </w:rPr>
        <w:t xml:space="preserve"> </w:t>
      </w:r>
      <w:r w:rsidR="00D90F40" w:rsidRPr="00600E61">
        <w:rPr>
          <w:rFonts w:ascii="Arial" w:hAnsi="Arial" w:cs="Arial"/>
        </w:rPr>
        <w:t>current and</w:t>
      </w:r>
      <w:r w:rsidR="00D90F40" w:rsidRPr="00600E61">
        <w:rPr>
          <w:rFonts w:ascii="Arial" w:hAnsi="Arial" w:cs="Arial"/>
          <w:spacing w:val="-15"/>
        </w:rPr>
        <w:t xml:space="preserve"> </w:t>
      </w:r>
      <w:r w:rsidR="00D90F40" w:rsidRPr="00600E61">
        <w:rPr>
          <w:rFonts w:ascii="Arial" w:hAnsi="Arial" w:cs="Arial"/>
        </w:rPr>
        <w:t>prospective</w:t>
      </w:r>
      <w:r w:rsidR="00D90F40" w:rsidRPr="00600E61">
        <w:rPr>
          <w:rFonts w:ascii="Arial" w:hAnsi="Arial" w:cs="Arial"/>
          <w:spacing w:val="-15"/>
        </w:rPr>
        <w:t xml:space="preserve"> </w:t>
      </w:r>
      <w:r w:rsidR="00D90F40" w:rsidRPr="00600E61">
        <w:rPr>
          <w:rFonts w:ascii="Arial" w:hAnsi="Arial" w:cs="Arial"/>
        </w:rPr>
        <w:t>macroeconomic</w:t>
      </w:r>
      <w:r w:rsidR="00D90F40" w:rsidRPr="00600E61">
        <w:rPr>
          <w:rFonts w:ascii="Arial" w:hAnsi="Arial" w:cs="Arial"/>
          <w:spacing w:val="-15"/>
        </w:rPr>
        <w:t xml:space="preserve"> </w:t>
      </w:r>
      <w:r w:rsidR="00D90F40" w:rsidRPr="00600E61">
        <w:rPr>
          <w:rFonts w:ascii="Arial" w:hAnsi="Arial" w:cs="Arial"/>
        </w:rPr>
        <w:t>and</w:t>
      </w:r>
      <w:r w:rsidR="00D90F40" w:rsidRPr="00600E61">
        <w:rPr>
          <w:rFonts w:ascii="Arial" w:hAnsi="Arial" w:cs="Arial"/>
          <w:spacing w:val="-15"/>
        </w:rPr>
        <w:t xml:space="preserve"> </w:t>
      </w:r>
      <w:r w:rsidR="00D90F40" w:rsidRPr="00600E61">
        <w:rPr>
          <w:rFonts w:ascii="Arial" w:hAnsi="Arial" w:cs="Arial"/>
        </w:rPr>
        <w:t>financial</w:t>
      </w:r>
      <w:r w:rsidR="00D90F40" w:rsidRPr="00600E61">
        <w:rPr>
          <w:rFonts w:ascii="Arial" w:hAnsi="Arial" w:cs="Arial"/>
          <w:spacing w:val="-14"/>
        </w:rPr>
        <w:t xml:space="preserve"> </w:t>
      </w:r>
      <w:r w:rsidR="00D90F40" w:rsidRPr="00600E61">
        <w:rPr>
          <w:rFonts w:ascii="Arial" w:hAnsi="Arial" w:cs="Arial"/>
        </w:rPr>
        <w:t>environment</w:t>
      </w:r>
      <w:r w:rsidR="00D90F40" w:rsidRPr="00600E61">
        <w:rPr>
          <w:rFonts w:ascii="Arial" w:hAnsi="Arial" w:cs="Arial"/>
          <w:spacing w:val="-16"/>
        </w:rPr>
        <w:t xml:space="preserve"> </w:t>
      </w:r>
      <w:r w:rsidR="00D90F40" w:rsidRPr="00600E61">
        <w:rPr>
          <w:rFonts w:ascii="Arial" w:hAnsi="Arial" w:cs="Arial"/>
        </w:rPr>
        <w:t>and</w:t>
      </w:r>
      <w:r w:rsidR="00D90F40" w:rsidRPr="00600E61">
        <w:rPr>
          <w:rFonts w:ascii="Arial" w:hAnsi="Arial" w:cs="Arial"/>
          <w:spacing w:val="-14"/>
        </w:rPr>
        <w:t xml:space="preserve"> </w:t>
      </w:r>
      <w:r w:rsidR="00D90F40" w:rsidRPr="00600E61">
        <w:rPr>
          <w:rFonts w:ascii="Arial" w:hAnsi="Arial" w:cs="Arial"/>
        </w:rPr>
        <w:t>drawing</w:t>
      </w:r>
      <w:r w:rsidR="00D90F40" w:rsidRPr="00600E61">
        <w:rPr>
          <w:rFonts w:ascii="Arial" w:hAnsi="Arial" w:cs="Arial"/>
          <w:spacing w:val="-15"/>
        </w:rPr>
        <w:t xml:space="preserve"> </w:t>
      </w:r>
      <w:r w:rsidR="00D90F40" w:rsidRPr="00600E61">
        <w:rPr>
          <w:rFonts w:ascii="Arial" w:hAnsi="Arial" w:cs="Arial"/>
        </w:rPr>
        <w:t>on financial</w:t>
      </w:r>
      <w:r w:rsidR="00D90F40" w:rsidRPr="00600E61">
        <w:rPr>
          <w:rFonts w:ascii="Arial" w:hAnsi="Arial" w:cs="Arial"/>
          <w:spacing w:val="-15"/>
        </w:rPr>
        <w:t xml:space="preserve"> </w:t>
      </w:r>
      <w:r w:rsidR="00D90F40" w:rsidRPr="00600E61">
        <w:rPr>
          <w:rFonts w:ascii="Arial" w:hAnsi="Arial" w:cs="Arial"/>
        </w:rPr>
        <w:t>stability</w:t>
      </w:r>
      <w:r w:rsidR="00D90F40" w:rsidRPr="00600E61">
        <w:rPr>
          <w:rFonts w:ascii="Arial" w:hAnsi="Arial" w:cs="Arial"/>
          <w:spacing w:val="-17"/>
        </w:rPr>
        <w:t xml:space="preserve"> </w:t>
      </w:r>
      <w:r w:rsidR="00D90F40" w:rsidRPr="00600E61">
        <w:rPr>
          <w:rFonts w:ascii="Arial" w:hAnsi="Arial" w:cs="Arial"/>
        </w:rPr>
        <w:t>assessments</w:t>
      </w:r>
      <w:r w:rsidR="00D90F40" w:rsidRPr="00600E61">
        <w:rPr>
          <w:rFonts w:ascii="Arial" w:hAnsi="Arial" w:cs="Arial"/>
          <w:spacing w:val="-16"/>
        </w:rPr>
        <w:t xml:space="preserve"> </w:t>
      </w:r>
      <w:r w:rsidR="00D90F40" w:rsidRPr="00600E61">
        <w:rPr>
          <w:rFonts w:ascii="Arial" w:hAnsi="Arial" w:cs="Arial"/>
        </w:rPr>
        <w:t>such</w:t>
      </w:r>
      <w:r w:rsidR="00D90F40" w:rsidRPr="00600E61">
        <w:rPr>
          <w:rFonts w:ascii="Arial" w:hAnsi="Arial" w:cs="Arial"/>
          <w:spacing w:val="-16"/>
        </w:rPr>
        <w:t xml:space="preserve"> </w:t>
      </w:r>
      <w:r w:rsidR="00D90F40" w:rsidRPr="00600E61">
        <w:rPr>
          <w:rFonts w:ascii="Arial" w:hAnsi="Arial" w:cs="Arial"/>
        </w:rPr>
        <w:t>as</w:t>
      </w:r>
      <w:r w:rsidR="00D90F40" w:rsidRPr="00600E61">
        <w:rPr>
          <w:rFonts w:ascii="Arial" w:hAnsi="Arial" w:cs="Arial"/>
          <w:spacing w:val="-15"/>
        </w:rPr>
        <w:t xml:space="preserve"> </w:t>
      </w:r>
      <w:r w:rsidR="00D90F40" w:rsidRPr="00600E61">
        <w:rPr>
          <w:rFonts w:ascii="Arial" w:hAnsi="Arial" w:cs="Arial"/>
        </w:rPr>
        <w:t>those</w:t>
      </w:r>
      <w:r w:rsidR="00D90F40" w:rsidRPr="00600E61">
        <w:rPr>
          <w:rFonts w:ascii="Arial" w:hAnsi="Arial" w:cs="Arial"/>
          <w:spacing w:val="-16"/>
        </w:rPr>
        <w:t xml:space="preserve"> </w:t>
      </w:r>
      <w:r w:rsidR="00D90F40" w:rsidRPr="00600E61">
        <w:rPr>
          <w:rFonts w:ascii="Arial" w:hAnsi="Arial" w:cs="Arial"/>
        </w:rPr>
        <w:t>published</w:t>
      </w:r>
      <w:r w:rsidR="00D90F40" w:rsidRPr="00600E61">
        <w:rPr>
          <w:rFonts w:ascii="Arial" w:hAnsi="Arial" w:cs="Arial"/>
          <w:spacing w:val="-15"/>
        </w:rPr>
        <w:t xml:space="preserve"> </w:t>
      </w:r>
      <w:r w:rsidR="00D90F40" w:rsidRPr="00600E61">
        <w:rPr>
          <w:rFonts w:ascii="Arial" w:hAnsi="Arial" w:cs="Arial"/>
        </w:rPr>
        <w:t>by</w:t>
      </w:r>
      <w:r w:rsidR="00D90F40" w:rsidRPr="00600E61">
        <w:rPr>
          <w:rFonts w:ascii="Arial" w:hAnsi="Arial" w:cs="Arial"/>
          <w:spacing w:val="-16"/>
        </w:rPr>
        <w:t xml:space="preserve"> </w:t>
      </w:r>
      <w:r w:rsidR="00D90F40" w:rsidRPr="00600E61">
        <w:rPr>
          <w:rFonts w:ascii="Arial" w:hAnsi="Arial" w:cs="Arial"/>
        </w:rPr>
        <w:t>relevant</w:t>
      </w:r>
      <w:r w:rsidR="00D90F40" w:rsidRPr="00600E61">
        <w:rPr>
          <w:rFonts w:ascii="Arial" w:hAnsi="Arial" w:cs="Arial"/>
          <w:spacing w:val="-17"/>
        </w:rPr>
        <w:t xml:space="preserve"> </w:t>
      </w:r>
      <w:r w:rsidR="00D90F40" w:rsidRPr="00600E61">
        <w:rPr>
          <w:rFonts w:ascii="Arial" w:hAnsi="Arial" w:cs="Arial"/>
        </w:rPr>
        <w:t>industry</w:t>
      </w:r>
      <w:r w:rsidR="00D90F40" w:rsidRPr="00600E61">
        <w:rPr>
          <w:rFonts w:ascii="Arial" w:hAnsi="Arial" w:cs="Arial"/>
          <w:spacing w:val="-16"/>
        </w:rPr>
        <w:t xml:space="preserve"> </w:t>
      </w:r>
      <w:r w:rsidR="00D90F40" w:rsidRPr="00600E61">
        <w:rPr>
          <w:rFonts w:ascii="Arial" w:hAnsi="Arial" w:cs="Arial"/>
        </w:rPr>
        <w:t>and regulatory</w:t>
      </w:r>
      <w:r w:rsidR="00D90F40" w:rsidRPr="00600E61">
        <w:rPr>
          <w:rFonts w:ascii="Arial" w:hAnsi="Arial" w:cs="Arial"/>
          <w:spacing w:val="-3"/>
        </w:rPr>
        <w:t xml:space="preserve"> </w:t>
      </w:r>
      <w:r w:rsidR="00D90F40" w:rsidRPr="00600E61">
        <w:rPr>
          <w:rFonts w:ascii="Arial" w:hAnsi="Arial" w:cs="Arial"/>
        </w:rPr>
        <w:t>authorities.</w:t>
      </w:r>
    </w:p>
    <w:p w14:paraId="74FE7C08" w14:textId="77777777" w:rsidR="00F10200" w:rsidRPr="00600E61" w:rsidRDefault="00F10200" w:rsidP="005930DA">
      <w:pPr>
        <w:pStyle w:val="BodyText"/>
        <w:jc w:val="both"/>
        <w:rPr>
          <w:rFonts w:ascii="Arial" w:hAnsi="Arial" w:cs="Arial"/>
        </w:rPr>
      </w:pPr>
    </w:p>
    <w:p w14:paraId="61E93D62" w14:textId="7EAB4435" w:rsidR="00F10200" w:rsidRDefault="009F2106" w:rsidP="004D05C6">
      <w:pPr>
        <w:pStyle w:val="ListParagraph"/>
        <w:numPr>
          <w:ilvl w:val="1"/>
          <w:numId w:val="11"/>
        </w:numPr>
        <w:tabs>
          <w:tab w:val="left" w:pos="567"/>
        </w:tabs>
        <w:ind w:left="851"/>
        <w:jc w:val="both"/>
        <w:rPr>
          <w:rFonts w:ascii="Arial" w:hAnsi="Arial" w:cs="Arial"/>
        </w:rPr>
      </w:pPr>
      <w:r>
        <w:rPr>
          <w:rFonts w:ascii="Arial" w:hAnsi="Arial" w:cs="Arial"/>
        </w:rPr>
        <w:t>a</w:t>
      </w:r>
      <w:r w:rsidR="00D90F40" w:rsidRPr="00600E61">
        <w:rPr>
          <w:rFonts w:ascii="Arial" w:hAnsi="Arial" w:cs="Arial"/>
        </w:rPr>
        <w:t>ssist on such other matters as may be referred to it by the</w:t>
      </w:r>
      <w:r w:rsidR="00D90F40" w:rsidRPr="004D05C6">
        <w:rPr>
          <w:rFonts w:ascii="Arial" w:hAnsi="Arial" w:cs="Arial"/>
        </w:rPr>
        <w:t xml:space="preserve"> </w:t>
      </w:r>
      <w:r w:rsidR="00D90F40" w:rsidRPr="00600E61">
        <w:rPr>
          <w:rFonts w:ascii="Arial" w:hAnsi="Arial" w:cs="Arial"/>
        </w:rPr>
        <w:t>Board.</w:t>
      </w:r>
    </w:p>
    <w:p w14:paraId="61D58E5E" w14:textId="77777777" w:rsidR="000F15DC" w:rsidRPr="005930DA" w:rsidRDefault="000F15DC" w:rsidP="004D05C6">
      <w:pPr>
        <w:pStyle w:val="ListParagraph"/>
        <w:ind w:left="851"/>
        <w:jc w:val="both"/>
        <w:rPr>
          <w:rFonts w:ascii="Arial" w:hAnsi="Arial" w:cs="Arial"/>
        </w:rPr>
      </w:pPr>
    </w:p>
    <w:p w14:paraId="231F4260" w14:textId="0B64A4C9" w:rsidR="00F10200" w:rsidRPr="00600E61" w:rsidRDefault="009F2106" w:rsidP="004D05C6">
      <w:pPr>
        <w:pStyle w:val="ListParagraph"/>
        <w:numPr>
          <w:ilvl w:val="1"/>
          <w:numId w:val="11"/>
        </w:numPr>
        <w:tabs>
          <w:tab w:val="left" w:pos="567"/>
        </w:tabs>
        <w:ind w:left="851"/>
        <w:jc w:val="both"/>
        <w:rPr>
          <w:rFonts w:ascii="Arial" w:hAnsi="Arial" w:cs="Arial"/>
        </w:rPr>
      </w:pPr>
      <w:r>
        <w:rPr>
          <w:rFonts w:ascii="Arial" w:hAnsi="Arial" w:cs="Arial"/>
        </w:rPr>
        <w:t>p</w:t>
      </w:r>
      <w:r w:rsidR="00D90F40" w:rsidRPr="00600E61">
        <w:rPr>
          <w:rFonts w:ascii="Arial" w:hAnsi="Arial" w:cs="Arial"/>
        </w:rPr>
        <w:t>romote a risk-awareness culture within the</w:t>
      </w:r>
      <w:r w:rsidR="00D90F40" w:rsidRPr="004D05C6">
        <w:rPr>
          <w:rFonts w:ascii="Arial" w:hAnsi="Arial" w:cs="Arial"/>
        </w:rPr>
        <w:t xml:space="preserve"> </w:t>
      </w:r>
      <w:r w:rsidR="003F6447" w:rsidRPr="004D05C6">
        <w:rPr>
          <w:rFonts w:ascii="Arial" w:hAnsi="Arial" w:cs="Arial"/>
        </w:rPr>
        <w:t xml:space="preserve">IG </w:t>
      </w:r>
      <w:r w:rsidR="003F6447" w:rsidRPr="00600E61">
        <w:rPr>
          <w:rFonts w:ascii="Arial" w:hAnsi="Arial" w:cs="Arial"/>
        </w:rPr>
        <w:t>G</w:t>
      </w:r>
      <w:r w:rsidR="00D90F40" w:rsidRPr="00600E61">
        <w:rPr>
          <w:rFonts w:ascii="Arial" w:hAnsi="Arial" w:cs="Arial"/>
        </w:rPr>
        <w:t>roup</w:t>
      </w:r>
      <w:r w:rsidR="00830D9F" w:rsidRPr="00600E61">
        <w:rPr>
          <w:rFonts w:ascii="Arial" w:hAnsi="Arial" w:cs="Arial"/>
        </w:rPr>
        <w:t>.</w:t>
      </w:r>
    </w:p>
    <w:p w14:paraId="6131BF12" w14:textId="71006B40" w:rsidR="00F10200" w:rsidRPr="00600E61" w:rsidRDefault="00194D48" w:rsidP="005930DA">
      <w:pPr>
        <w:pStyle w:val="Heading1"/>
        <w:numPr>
          <w:ilvl w:val="0"/>
          <w:numId w:val="3"/>
        </w:numPr>
        <w:spacing w:before="220"/>
        <w:ind w:left="567" w:hanging="567"/>
        <w:jc w:val="both"/>
        <w:rPr>
          <w:rFonts w:ascii="Arial" w:hAnsi="Arial" w:cs="Arial"/>
        </w:rPr>
      </w:pPr>
      <w:r>
        <w:rPr>
          <w:rFonts w:ascii="Arial" w:hAnsi="Arial" w:cs="Arial"/>
        </w:rPr>
        <w:t>Duties</w:t>
      </w:r>
    </w:p>
    <w:p w14:paraId="7BA1EEC3" w14:textId="77777777" w:rsidR="0070441B" w:rsidRPr="00600E61" w:rsidRDefault="0070441B">
      <w:pPr>
        <w:pStyle w:val="BodyText"/>
        <w:spacing w:before="9"/>
        <w:rPr>
          <w:rFonts w:ascii="Arial" w:hAnsi="Arial" w:cs="Arial"/>
          <w:sz w:val="13"/>
        </w:rPr>
      </w:pPr>
    </w:p>
    <w:p w14:paraId="0E51B6B0" w14:textId="77777777" w:rsidR="00F10200" w:rsidRPr="00600E61" w:rsidRDefault="00D90F40" w:rsidP="005930DA">
      <w:pPr>
        <w:pStyle w:val="Heading1"/>
        <w:numPr>
          <w:ilvl w:val="1"/>
          <w:numId w:val="3"/>
        </w:numPr>
        <w:tabs>
          <w:tab w:val="left" w:pos="567"/>
        </w:tabs>
        <w:spacing w:before="101"/>
        <w:ind w:hanging="993"/>
        <w:rPr>
          <w:rFonts w:ascii="Arial" w:hAnsi="Arial" w:cs="Arial"/>
        </w:rPr>
      </w:pPr>
      <w:r w:rsidRPr="00600E61">
        <w:rPr>
          <w:rFonts w:ascii="Arial" w:hAnsi="Arial" w:cs="Arial"/>
        </w:rPr>
        <w:t>Risk Strategy and</w:t>
      </w:r>
      <w:r w:rsidRPr="00600E61">
        <w:rPr>
          <w:rFonts w:ascii="Arial" w:hAnsi="Arial" w:cs="Arial"/>
          <w:spacing w:val="-7"/>
        </w:rPr>
        <w:t xml:space="preserve"> </w:t>
      </w:r>
      <w:r w:rsidRPr="00600E61">
        <w:rPr>
          <w:rFonts w:ascii="Arial" w:hAnsi="Arial" w:cs="Arial"/>
        </w:rPr>
        <w:t>Policy</w:t>
      </w:r>
    </w:p>
    <w:p w14:paraId="6FDA3D8D" w14:textId="77777777" w:rsidR="00F10200" w:rsidRPr="00600E61" w:rsidRDefault="00F10200">
      <w:pPr>
        <w:pStyle w:val="BodyText"/>
        <w:spacing w:before="11"/>
        <w:rPr>
          <w:rFonts w:ascii="Arial" w:hAnsi="Arial" w:cs="Arial"/>
          <w:b/>
          <w:sz w:val="21"/>
        </w:rPr>
      </w:pPr>
    </w:p>
    <w:p w14:paraId="22782C3B" w14:textId="77777777" w:rsidR="00F10200" w:rsidRPr="00600E61" w:rsidRDefault="00D90F40" w:rsidP="00AF27DC">
      <w:pPr>
        <w:pStyle w:val="BodyText"/>
        <w:ind w:firstLine="567"/>
        <w:rPr>
          <w:rFonts w:ascii="Arial" w:hAnsi="Arial" w:cs="Arial"/>
        </w:rPr>
      </w:pPr>
      <w:r w:rsidRPr="00600E61">
        <w:rPr>
          <w:rFonts w:ascii="Arial" w:hAnsi="Arial" w:cs="Arial"/>
        </w:rPr>
        <w:t>The Committee shall:</w:t>
      </w:r>
    </w:p>
    <w:p w14:paraId="77459D63" w14:textId="77777777" w:rsidR="00F10200" w:rsidRPr="00600E61" w:rsidRDefault="00F10200" w:rsidP="00AF27DC">
      <w:pPr>
        <w:pStyle w:val="BodyText"/>
        <w:spacing w:before="12"/>
        <w:rPr>
          <w:rFonts w:ascii="Arial" w:hAnsi="Arial" w:cs="Arial"/>
          <w:sz w:val="21"/>
        </w:rPr>
      </w:pPr>
    </w:p>
    <w:tbl>
      <w:tblPr>
        <w:tblW w:w="9927" w:type="dxa"/>
        <w:tblInd w:w="562" w:type="dxa"/>
        <w:tblLayout w:type="fixed"/>
        <w:tblCellMar>
          <w:left w:w="0" w:type="dxa"/>
          <w:right w:w="0" w:type="dxa"/>
        </w:tblCellMar>
        <w:tblLook w:val="01E0" w:firstRow="1" w:lastRow="1" w:firstColumn="1" w:lastColumn="1" w:noHBand="0" w:noVBand="0"/>
      </w:tblPr>
      <w:tblGrid>
        <w:gridCol w:w="869"/>
        <w:gridCol w:w="8350"/>
        <w:gridCol w:w="708"/>
      </w:tblGrid>
      <w:tr w:rsidR="00F20437" w:rsidRPr="00600E61" w14:paraId="44086867" w14:textId="77777777" w:rsidTr="00F20437">
        <w:trPr>
          <w:trHeight w:val="945"/>
        </w:trPr>
        <w:tc>
          <w:tcPr>
            <w:tcW w:w="869" w:type="dxa"/>
          </w:tcPr>
          <w:p w14:paraId="44B3C385" w14:textId="08366411" w:rsidR="00F10200" w:rsidRPr="00600E61" w:rsidRDefault="00194D48" w:rsidP="00AF27DC">
            <w:pPr>
              <w:pStyle w:val="TableParagraph"/>
              <w:spacing w:before="3"/>
              <w:ind w:right="180"/>
              <w:jc w:val="right"/>
              <w:rPr>
                <w:rFonts w:ascii="Arial" w:hAnsi="Arial" w:cs="Arial"/>
              </w:rPr>
            </w:pPr>
            <w:r>
              <w:rPr>
                <w:rFonts w:ascii="Arial" w:hAnsi="Arial" w:cs="Arial"/>
              </w:rPr>
              <w:t>1</w:t>
            </w:r>
            <w:r w:rsidR="00D90F40" w:rsidRPr="00600E61">
              <w:rPr>
                <w:rFonts w:ascii="Arial" w:hAnsi="Arial" w:cs="Arial"/>
              </w:rPr>
              <w:t>.1.1</w:t>
            </w:r>
          </w:p>
        </w:tc>
        <w:tc>
          <w:tcPr>
            <w:tcW w:w="8350" w:type="dxa"/>
          </w:tcPr>
          <w:p w14:paraId="3F60962A" w14:textId="222524F4" w:rsidR="00F10200" w:rsidRPr="005930DA" w:rsidRDefault="00D90F40" w:rsidP="00AF27DC">
            <w:pPr>
              <w:tabs>
                <w:tab w:val="left" w:pos="8214"/>
              </w:tabs>
              <w:ind w:left="135" w:right="141"/>
              <w:jc w:val="both"/>
              <w:rPr>
                <w:rFonts w:ascii="Arial" w:hAnsi="Arial" w:cs="Arial"/>
              </w:rPr>
            </w:pPr>
            <w:r w:rsidRPr="005930DA">
              <w:rPr>
                <w:rFonts w:ascii="Arial" w:hAnsi="Arial" w:cs="Arial"/>
              </w:rPr>
              <w:t xml:space="preserve">review the design and implementation of the general risk management policy and measurement strategies across the </w:t>
            </w:r>
            <w:r w:rsidR="006013FA" w:rsidRPr="005930DA">
              <w:rPr>
                <w:rFonts w:ascii="Arial" w:hAnsi="Arial" w:cs="Arial"/>
              </w:rPr>
              <w:t>G</w:t>
            </w:r>
            <w:r w:rsidRPr="005930DA">
              <w:rPr>
                <w:rFonts w:ascii="Arial" w:hAnsi="Arial" w:cs="Arial"/>
              </w:rPr>
              <w:t>roup, and the procedures for monitoring the adequacy and effectiveness of those processes;</w:t>
            </w:r>
          </w:p>
        </w:tc>
        <w:tc>
          <w:tcPr>
            <w:tcW w:w="708" w:type="dxa"/>
          </w:tcPr>
          <w:p w14:paraId="776DA2B8" w14:textId="77777777" w:rsidR="00F10200" w:rsidRPr="00600E61" w:rsidRDefault="00F10200" w:rsidP="00AF27DC">
            <w:pPr>
              <w:pStyle w:val="TableParagraph"/>
              <w:ind w:left="56"/>
              <w:jc w:val="center"/>
              <w:rPr>
                <w:rFonts w:ascii="Arial" w:hAnsi="Arial" w:cs="Arial"/>
                <w:b/>
              </w:rPr>
            </w:pPr>
          </w:p>
        </w:tc>
      </w:tr>
      <w:tr w:rsidR="00F10200" w:rsidRPr="00600E61" w14:paraId="3EED50D2" w14:textId="77777777" w:rsidTr="005930DA">
        <w:trPr>
          <w:trHeight w:val="967"/>
        </w:trPr>
        <w:tc>
          <w:tcPr>
            <w:tcW w:w="869" w:type="dxa"/>
          </w:tcPr>
          <w:p w14:paraId="1199FF21" w14:textId="29A984F8" w:rsidR="00F10200" w:rsidRPr="00600E61" w:rsidRDefault="00194D48" w:rsidP="00AF27DC">
            <w:pPr>
              <w:pStyle w:val="TableParagraph"/>
              <w:spacing w:before="135"/>
              <w:ind w:right="180"/>
              <w:jc w:val="right"/>
              <w:rPr>
                <w:rFonts w:ascii="Arial" w:hAnsi="Arial" w:cs="Arial"/>
              </w:rPr>
            </w:pPr>
            <w:r>
              <w:rPr>
                <w:rFonts w:ascii="Arial" w:hAnsi="Arial" w:cs="Arial"/>
              </w:rPr>
              <w:t>1</w:t>
            </w:r>
            <w:r w:rsidR="00D90F40" w:rsidRPr="00600E61">
              <w:rPr>
                <w:rFonts w:ascii="Arial" w:hAnsi="Arial" w:cs="Arial"/>
              </w:rPr>
              <w:t>.1.2</w:t>
            </w:r>
          </w:p>
        </w:tc>
        <w:tc>
          <w:tcPr>
            <w:tcW w:w="8350" w:type="dxa"/>
          </w:tcPr>
          <w:p w14:paraId="45EF9056" w14:textId="350A2756" w:rsidR="00CE7ED9" w:rsidRDefault="00AF27DC" w:rsidP="00AF27DC">
            <w:pPr>
              <w:tabs>
                <w:tab w:val="left" w:pos="8214"/>
              </w:tabs>
              <w:ind w:left="136" w:right="142"/>
              <w:jc w:val="both"/>
              <w:rPr>
                <w:rFonts w:ascii="Arial" w:hAnsi="Arial" w:cs="Arial"/>
              </w:rPr>
            </w:pPr>
            <w:r w:rsidRPr="005930DA">
              <w:rPr>
                <w:rFonts w:ascii="Arial" w:hAnsi="Arial" w:cs="Arial"/>
              </w:rPr>
              <w:t>Consider</w:t>
            </w:r>
            <w:r>
              <w:rPr>
                <w:rFonts w:ascii="Arial" w:hAnsi="Arial" w:cs="Arial"/>
              </w:rPr>
              <w:t>,</w:t>
            </w:r>
            <w:r w:rsidRPr="005930DA">
              <w:rPr>
                <w:rFonts w:ascii="Arial" w:hAnsi="Arial" w:cs="Arial"/>
              </w:rPr>
              <w:t xml:space="preserve"> and regularly review the Group’s risk profile relative to current and future group strategy and risk appetite,</w:t>
            </w:r>
            <w:r w:rsidRPr="005930DA">
              <w:rPr>
                <w:rFonts w:ascii="Arial" w:hAnsi="Arial" w:cs="Arial"/>
                <w:spacing w:val="-14"/>
              </w:rPr>
              <w:t xml:space="preserve"> </w:t>
            </w:r>
            <w:r w:rsidRPr="005930DA">
              <w:rPr>
                <w:rFonts w:ascii="Arial" w:hAnsi="Arial" w:cs="Arial"/>
              </w:rPr>
              <w:t>identify</w:t>
            </w:r>
            <w:r w:rsidRPr="005930DA">
              <w:rPr>
                <w:rFonts w:ascii="Arial" w:hAnsi="Arial" w:cs="Arial"/>
                <w:spacing w:val="-13"/>
              </w:rPr>
              <w:t xml:space="preserve"> </w:t>
            </w:r>
            <w:r w:rsidRPr="005930DA">
              <w:rPr>
                <w:rFonts w:ascii="Arial" w:hAnsi="Arial" w:cs="Arial"/>
              </w:rPr>
              <w:t>any</w:t>
            </w:r>
            <w:r w:rsidRPr="005930DA">
              <w:rPr>
                <w:rFonts w:ascii="Arial" w:hAnsi="Arial" w:cs="Arial"/>
                <w:spacing w:val="-14"/>
              </w:rPr>
              <w:t xml:space="preserve"> </w:t>
            </w:r>
            <w:r w:rsidRPr="005930DA">
              <w:rPr>
                <w:rFonts w:ascii="Arial" w:hAnsi="Arial" w:cs="Arial"/>
              </w:rPr>
              <w:t>risk</w:t>
            </w:r>
            <w:r w:rsidRPr="005930DA">
              <w:rPr>
                <w:rFonts w:ascii="Arial" w:hAnsi="Arial" w:cs="Arial"/>
                <w:spacing w:val="-15"/>
              </w:rPr>
              <w:t xml:space="preserve"> </w:t>
            </w:r>
            <w:r w:rsidRPr="005930DA">
              <w:rPr>
                <w:rFonts w:ascii="Arial" w:hAnsi="Arial" w:cs="Arial"/>
              </w:rPr>
              <w:t>trends,</w:t>
            </w:r>
            <w:r w:rsidRPr="005930DA">
              <w:rPr>
                <w:rFonts w:ascii="Arial" w:hAnsi="Arial" w:cs="Arial"/>
                <w:spacing w:val="-14"/>
              </w:rPr>
              <w:t xml:space="preserve"> </w:t>
            </w:r>
            <w:r w:rsidRPr="005930DA">
              <w:rPr>
                <w:rFonts w:ascii="Arial" w:hAnsi="Arial" w:cs="Arial"/>
              </w:rPr>
              <w:t>material</w:t>
            </w:r>
            <w:r w:rsidRPr="005930DA">
              <w:rPr>
                <w:rFonts w:ascii="Arial" w:hAnsi="Arial" w:cs="Arial"/>
                <w:spacing w:val="-9"/>
              </w:rPr>
              <w:t xml:space="preserve"> </w:t>
            </w:r>
            <w:r w:rsidRPr="005930DA">
              <w:rPr>
                <w:rFonts w:ascii="Arial" w:hAnsi="Arial" w:cs="Arial"/>
              </w:rPr>
              <w:t>regulatory</w:t>
            </w:r>
            <w:r w:rsidRPr="005930DA">
              <w:rPr>
                <w:rFonts w:ascii="Arial" w:hAnsi="Arial" w:cs="Arial"/>
                <w:spacing w:val="-14"/>
              </w:rPr>
              <w:t xml:space="preserve"> </w:t>
            </w:r>
            <w:r w:rsidRPr="005930DA">
              <w:rPr>
                <w:rFonts w:ascii="Arial" w:hAnsi="Arial" w:cs="Arial"/>
              </w:rPr>
              <w:t>changes,</w:t>
            </w:r>
            <w:r w:rsidRPr="005930DA">
              <w:rPr>
                <w:rFonts w:ascii="Arial" w:hAnsi="Arial" w:cs="Arial"/>
                <w:spacing w:val="-14"/>
              </w:rPr>
              <w:t xml:space="preserve"> </w:t>
            </w:r>
            <w:r w:rsidRPr="005930DA">
              <w:rPr>
                <w:rFonts w:ascii="Arial" w:hAnsi="Arial" w:cs="Arial"/>
              </w:rPr>
              <w:t>concentrations or exposures and any requirement for policy</w:t>
            </w:r>
            <w:r w:rsidRPr="005930DA">
              <w:rPr>
                <w:rFonts w:ascii="Arial" w:hAnsi="Arial" w:cs="Arial"/>
                <w:spacing w:val="-12"/>
              </w:rPr>
              <w:t xml:space="preserve"> </w:t>
            </w:r>
            <w:r w:rsidRPr="005930DA">
              <w:rPr>
                <w:rFonts w:ascii="Arial" w:hAnsi="Arial" w:cs="Arial"/>
              </w:rPr>
              <w:t>change; and</w:t>
            </w:r>
          </w:p>
          <w:p w14:paraId="5BDD41F2" w14:textId="62E8A91B" w:rsidR="00F10200" w:rsidRPr="005930DA" w:rsidRDefault="00F10200" w:rsidP="00AF27DC">
            <w:pPr>
              <w:tabs>
                <w:tab w:val="left" w:pos="8214"/>
              </w:tabs>
              <w:ind w:left="136" w:right="142"/>
              <w:jc w:val="both"/>
              <w:rPr>
                <w:rFonts w:ascii="Arial" w:hAnsi="Arial" w:cs="Arial"/>
              </w:rPr>
            </w:pPr>
          </w:p>
        </w:tc>
        <w:tc>
          <w:tcPr>
            <w:tcW w:w="708" w:type="dxa"/>
          </w:tcPr>
          <w:p w14:paraId="5237BA27" w14:textId="77777777" w:rsidR="00F10200" w:rsidRPr="00600E61" w:rsidRDefault="00F10200" w:rsidP="00AF27DC">
            <w:pPr>
              <w:pStyle w:val="TableParagraph"/>
              <w:spacing w:before="135"/>
              <w:ind w:left="56"/>
              <w:jc w:val="center"/>
              <w:rPr>
                <w:rFonts w:ascii="Arial" w:hAnsi="Arial" w:cs="Arial"/>
                <w:b/>
              </w:rPr>
            </w:pPr>
          </w:p>
        </w:tc>
      </w:tr>
      <w:tr w:rsidR="00F10200" w:rsidRPr="00600E61" w14:paraId="74A013DB" w14:textId="77777777" w:rsidTr="005930DA">
        <w:trPr>
          <w:trHeight w:val="2022"/>
        </w:trPr>
        <w:tc>
          <w:tcPr>
            <w:tcW w:w="869" w:type="dxa"/>
          </w:tcPr>
          <w:p w14:paraId="31425C49" w14:textId="675ED8B0" w:rsidR="00F10200" w:rsidRPr="00600E61" w:rsidRDefault="00194D48" w:rsidP="00AF27DC">
            <w:pPr>
              <w:pStyle w:val="TableParagraph"/>
              <w:spacing w:before="135"/>
              <w:ind w:right="180"/>
              <w:jc w:val="right"/>
              <w:rPr>
                <w:rFonts w:ascii="Arial" w:hAnsi="Arial" w:cs="Arial"/>
              </w:rPr>
            </w:pPr>
            <w:r>
              <w:rPr>
                <w:rFonts w:ascii="Arial" w:hAnsi="Arial" w:cs="Arial"/>
              </w:rPr>
              <w:t>1</w:t>
            </w:r>
            <w:r w:rsidR="00D90F40" w:rsidRPr="00600E61">
              <w:rPr>
                <w:rFonts w:ascii="Arial" w:hAnsi="Arial" w:cs="Arial"/>
              </w:rPr>
              <w:t>.1.3</w:t>
            </w:r>
          </w:p>
        </w:tc>
        <w:tc>
          <w:tcPr>
            <w:tcW w:w="8350" w:type="dxa"/>
          </w:tcPr>
          <w:p w14:paraId="59DB27BF" w14:textId="20989CE0" w:rsidR="00F10200" w:rsidRDefault="00D90F40" w:rsidP="00AF27DC">
            <w:pPr>
              <w:tabs>
                <w:tab w:val="left" w:pos="8214"/>
              </w:tabs>
              <w:ind w:left="135" w:right="141"/>
              <w:jc w:val="both"/>
              <w:rPr>
                <w:rFonts w:ascii="Arial" w:hAnsi="Arial" w:cs="Arial"/>
              </w:rPr>
            </w:pPr>
            <w:r w:rsidRPr="005930DA">
              <w:rPr>
                <w:rFonts w:ascii="Arial" w:hAnsi="Arial" w:cs="Arial"/>
              </w:rPr>
              <w:t>before a decision to proceed is taken by the Board, to undertake a risk assessment of any proposed strategic transaction (including a merger, acquisition</w:t>
            </w:r>
            <w:r w:rsidRPr="005930DA">
              <w:rPr>
                <w:rFonts w:ascii="Arial" w:hAnsi="Arial" w:cs="Arial"/>
                <w:spacing w:val="-20"/>
              </w:rPr>
              <w:t xml:space="preserve"> </w:t>
            </w:r>
            <w:r w:rsidRPr="005930DA">
              <w:rPr>
                <w:rFonts w:ascii="Arial" w:hAnsi="Arial" w:cs="Arial"/>
              </w:rPr>
              <w:t>or</w:t>
            </w:r>
            <w:r w:rsidRPr="005930DA">
              <w:rPr>
                <w:rFonts w:ascii="Arial" w:hAnsi="Arial" w:cs="Arial"/>
                <w:spacing w:val="-18"/>
              </w:rPr>
              <w:t xml:space="preserve"> </w:t>
            </w:r>
            <w:r w:rsidRPr="005930DA">
              <w:rPr>
                <w:rFonts w:ascii="Arial" w:hAnsi="Arial" w:cs="Arial"/>
              </w:rPr>
              <w:t>disposal),</w:t>
            </w:r>
            <w:r w:rsidRPr="005930DA">
              <w:rPr>
                <w:rFonts w:ascii="Arial" w:hAnsi="Arial" w:cs="Arial"/>
                <w:spacing w:val="-18"/>
              </w:rPr>
              <w:t xml:space="preserve"> </w:t>
            </w:r>
            <w:r w:rsidRPr="005930DA">
              <w:rPr>
                <w:rFonts w:ascii="Arial" w:hAnsi="Arial" w:cs="Arial"/>
              </w:rPr>
              <w:t>focusing</w:t>
            </w:r>
            <w:r w:rsidRPr="005930DA">
              <w:rPr>
                <w:rFonts w:ascii="Arial" w:hAnsi="Arial" w:cs="Arial"/>
                <w:spacing w:val="-19"/>
              </w:rPr>
              <w:t xml:space="preserve"> </w:t>
            </w:r>
            <w:r w:rsidRPr="005930DA">
              <w:rPr>
                <w:rFonts w:ascii="Arial" w:hAnsi="Arial" w:cs="Arial"/>
              </w:rPr>
              <w:t>on</w:t>
            </w:r>
            <w:r w:rsidRPr="005930DA">
              <w:rPr>
                <w:rFonts w:ascii="Arial" w:hAnsi="Arial" w:cs="Arial"/>
                <w:spacing w:val="-20"/>
              </w:rPr>
              <w:t xml:space="preserve"> </w:t>
            </w:r>
            <w:r w:rsidRPr="005930DA">
              <w:rPr>
                <w:rFonts w:ascii="Arial" w:hAnsi="Arial" w:cs="Arial"/>
              </w:rPr>
              <w:t>implications</w:t>
            </w:r>
            <w:r w:rsidRPr="005930DA">
              <w:rPr>
                <w:rFonts w:ascii="Arial" w:hAnsi="Arial" w:cs="Arial"/>
                <w:spacing w:val="-18"/>
              </w:rPr>
              <w:t xml:space="preserve"> </w:t>
            </w:r>
            <w:r w:rsidRPr="005930DA">
              <w:rPr>
                <w:rFonts w:ascii="Arial" w:hAnsi="Arial" w:cs="Arial"/>
              </w:rPr>
              <w:t>of</w:t>
            </w:r>
            <w:r w:rsidRPr="005930DA">
              <w:rPr>
                <w:rFonts w:ascii="Arial" w:hAnsi="Arial" w:cs="Arial"/>
                <w:spacing w:val="-19"/>
              </w:rPr>
              <w:t xml:space="preserve"> </w:t>
            </w:r>
            <w:r w:rsidRPr="005930DA">
              <w:rPr>
                <w:rFonts w:ascii="Arial" w:hAnsi="Arial" w:cs="Arial"/>
              </w:rPr>
              <w:t>the</w:t>
            </w:r>
            <w:r w:rsidRPr="005930DA">
              <w:rPr>
                <w:rFonts w:ascii="Arial" w:hAnsi="Arial" w:cs="Arial"/>
                <w:spacing w:val="-20"/>
              </w:rPr>
              <w:t xml:space="preserve"> </w:t>
            </w:r>
            <w:r w:rsidRPr="005930DA">
              <w:rPr>
                <w:rFonts w:ascii="Arial" w:hAnsi="Arial" w:cs="Arial"/>
              </w:rPr>
              <w:t>proposed</w:t>
            </w:r>
            <w:r w:rsidRPr="005930DA">
              <w:rPr>
                <w:rFonts w:ascii="Arial" w:hAnsi="Arial" w:cs="Arial"/>
                <w:spacing w:val="-18"/>
              </w:rPr>
              <w:t xml:space="preserve"> </w:t>
            </w:r>
            <w:r w:rsidRPr="005930DA">
              <w:rPr>
                <w:rFonts w:ascii="Arial" w:hAnsi="Arial" w:cs="Arial"/>
              </w:rPr>
              <w:t xml:space="preserve">transaction for the risk appetite and risk tolerance of the </w:t>
            </w:r>
            <w:r w:rsidR="006013FA" w:rsidRPr="005930DA">
              <w:rPr>
                <w:rFonts w:ascii="Arial" w:hAnsi="Arial" w:cs="Arial"/>
              </w:rPr>
              <w:t>G</w:t>
            </w:r>
            <w:r w:rsidRPr="005930DA">
              <w:rPr>
                <w:rFonts w:ascii="Arial" w:hAnsi="Arial" w:cs="Arial"/>
              </w:rPr>
              <w:t>roup, taking independent external advice where appropriate. The Committee should also</w:t>
            </w:r>
            <w:r w:rsidRPr="005930DA">
              <w:rPr>
                <w:rFonts w:ascii="Arial" w:hAnsi="Arial" w:cs="Arial"/>
                <w:spacing w:val="-44"/>
              </w:rPr>
              <w:t xml:space="preserve"> </w:t>
            </w:r>
            <w:r w:rsidRPr="005930DA">
              <w:rPr>
                <w:rFonts w:ascii="Arial" w:hAnsi="Arial" w:cs="Arial"/>
              </w:rPr>
              <w:t>ensure that</w:t>
            </w:r>
            <w:r w:rsidR="00AF27DC">
              <w:rPr>
                <w:rFonts w:ascii="Arial" w:hAnsi="Arial" w:cs="Arial"/>
              </w:rPr>
              <w:t xml:space="preserve"> </w:t>
            </w:r>
            <w:r w:rsidR="00AF27DC" w:rsidRPr="005930DA">
              <w:rPr>
                <w:rFonts w:ascii="Arial" w:hAnsi="Arial" w:cs="Arial"/>
              </w:rPr>
              <w:t>a</w:t>
            </w:r>
            <w:r w:rsidR="00AF27DC" w:rsidRPr="005930DA">
              <w:rPr>
                <w:rFonts w:ascii="Arial" w:hAnsi="Arial" w:cs="Arial"/>
                <w:spacing w:val="-10"/>
              </w:rPr>
              <w:t xml:space="preserve"> </w:t>
            </w:r>
            <w:r w:rsidR="00AF27DC" w:rsidRPr="005930DA">
              <w:rPr>
                <w:rFonts w:ascii="Arial" w:hAnsi="Arial" w:cs="Arial"/>
              </w:rPr>
              <w:t>due</w:t>
            </w:r>
            <w:r w:rsidR="00AF27DC" w:rsidRPr="005930DA">
              <w:rPr>
                <w:rFonts w:ascii="Arial" w:hAnsi="Arial" w:cs="Arial"/>
                <w:spacing w:val="-11"/>
              </w:rPr>
              <w:t xml:space="preserve"> </w:t>
            </w:r>
            <w:r w:rsidR="00AF27DC" w:rsidRPr="005930DA">
              <w:rPr>
                <w:rFonts w:ascii="Arial" w:hAnsi="Arial" w:cs="Arial"/>
              </w:rPr>
              <w:t>diligence</w:t>
            </w:r>
            <w:r w:rsidR="00AF27DC" w:rsidRPr="005930DA">
              <w:rPr>
                <w:rFonts w:ascii="Arial" w:hAnsi="Arial" w:cs="Arial"/>
                <w:spacing w:val="-9"/>
              </w:rPr>
              <w:t xml:space="preserve"> </w:t>
            </w:r>
            <w:r w:rsidR="00AF27DC" w:rsidRPr="005930DA">
              <w:rPr>
                <w:rFonts w:ascii="Arial" w:hAnsi="Arial" w:cs="Arial"/>
              </w:rPr>
              <w:t>appraisal</w:t>
            </w:r>
            <w:r w:rsidR="00AF27DC" w:rsidRPr="005930DA">
              <w:rPr>
                <w:rFonts w:ascii="Arial" w:hAnsi="Arial" w:cs="Arial"/>
                <w:spacing w:val="-11"/>
              </w:rPr>
              <w:t xml:space="preserve"> </w:t>
            </w:r>
            <w:r w:rsidR="00AF27DC" w:rsidRPr="005930DA">
              <w:rPr>
                <w:rFonts w:ascii="Arial" w:hAnsi="Arial" w:cs="Arial"/>
              </w:rPr>
              <w:t>of</w:t>
            </w:r>
            <w:r w:rsidR="00AF27DC" w:rsidRPr="005930DA">
              <w:rPr>
                <w:rFonts w:ascii="Arial" w:hAnsi="Arial" w:cs="Arial"/>
                <w:spacing w:val="-10"/>
              </w:rPr>
              <w:t xml:space="preserve"> </w:t>
            </w:r>
            <w:r w:rsidR="00AF27DC" w:rsidRPr="005930DA">
              <w:rPr>
                <w:rFonts w:ascii="Arial" w:hAnsi="Arial" w:cs="Arial"/>
              </w:rPr>
              <w:t>the</w:t>
            </w:r>
            <w:r w:rsidR="00AF27DC" w:rsidRPr="005930DA">
              <w:rPr>
                <w:rFonts w:ascii="Arial" w:hAnsi="Arial" w:cs="Arial"/>
                <w:spacing w:val="-12"/>
              </w:rPr>
              <w:t xml:space="preserve"> </w:t>
            </w:r>
            <w:r w:rsidR="00AF27DC" w:rsidRPr="005930DA">
              <w:rPr>
                <w:rFonts w:ascii="Arial" w:hAnsi="Arial" w:cs="Arial"/>
              </w:rPr>
              <w:t>proposition</w:t>
            </w:r>
            <w:r w:rsidR="00AF27DC" w:rsidRPr="005930DA">
              <w:rPr>
                <w:rFonts w:ascii="Arial" w:hAnsi="Arial" w:cs="Arial"/>
                <w:spacing w:val="-13"/>
              </w:rPr>
              <w:t xml:space="preserve"> </w:t>
            </w:r>
            <w:r w:rsidR="00AF27DC" w:rsidRPr="005930DA">
              <w:rPr>
                <w:rFonts w:ascii="Arial" w:hAnsi="Arial" w:cs="Arial"/>
              </w:rPr>
              <w:t>is</w:t>
            </w:r>
            <w:r w:rsidR="00AF27DC" w:rsidRPr="005930DA">
              <w:rPr>
                <w:rFonts w:ascii="Arial" w:hAnsi="Arial" w:cs="Arial"/>
                <w:spacing w:val="-12"/>
              </w:rPr>
              <w:t xml:space="preserve"> </w:t>
            </w:r>
            <w:r w:rsidR="00AF27DC" w:rsidRPr="005930DA">
              <w:rPr>
                <w:rFonts w:ascii="Arial" w:hAnsi="Arial" w:cs="Arial"/>
              </w:rPr>
              <w:t>undertaken</w:t>
            </w:r>
            <w:r w:rsidR="00AF27DC" w:rsidRPr="005930DA">
              <w:rPr>
                <w:rFonts w:ascii="Arial" w:hAnsi="Arial" w:cs="Arial"/>
                <w:spacing w:val="-12"/>
              </w:rPr>
              <w:t xml:space="preserve"> </w:t>
            </w:r>
            <w:r w:rsidR="00AF27DC" w:rsidRPr="005930DA">
              <w:rPr>
                <w:rFonts w:ascii="Arial" w:hAnsi="Arial" w:cs="Arial"/>
              </w:rPr>
              <w:t>by</w:t>
            </w:r>
            <w:r w:rsidR="00AF27DC" w:rsidRPr="005930DA">
              <w:rPr>
                <w:rFonts w:ascii="Arial" w:hAnsi="Arial" w:cs="Arial"/>
                <w:spacing w:val="-10"/>
              </w:rPr>
              <w:t xml:space="preserve"> </w:t>
            </w:r>
            <w:r w:rsidR="00AF27DC" w:rsidRPr="005930DA">
              <w:rPr>
                <w:rFonts w:ascii="Arial" w:hAnsi="Arial" w:cs="Arial"/>
              </w:rPr>
              <w:t>the</w:t>
            </w:r>
            <w:r w:rsidR="00AF27DC" w:rsidRPr="005930DA">
              <w:rPr>
                <w:rFonts w:ascii="Arial" w:hAnsi="Arial" w:cs="Arial"/>
                <w:spacing w:val="-11"/>
              </w:rPr>
              <w:t xml:space="preserve"> </w:t>
            </w:r>
            <w:r w:rsidR="00AF27DC" w:rsidRPr="005930DA">
              <w:rPr>
                <w:rFonts w:ascii="Arial" w:hAnsi="Arial" w:cs="Arial"/>
              </w:rPr>
              <w:t>Group</w:t>
            </w:r>
            <w:r w:rsidR="00AF27DC" w:rsidRPr="005930DA">
              <w:rPr>
                <w:rFonts w:ascii="Arial" w:hAnsi="Arial" w:cs="Arial"/>
                <w:spacing w:val="-10"/>
              </w:rPr>
              <w:t xml:space="preserve"> </w:t>
            </w:r>
            <w:r w:rsidR="00AF27DC" w:rsidRPr="005930DA">
              <w:rPr>
                <w:rFonts w:ascii="Arial" w:hAnsi="Arial" w:cs="Arial"/>
              </w:rPr>
              <w:t>and refer to the conclusions of such appraisal as part of its risk</w:t>
            </w:r>
            <w:r w:rsidR="00AF27DC" w:rsidRPr="005930DA">
              <w:rPr>
                <w:rFonts w:ascii="Arial" w:hAnsi="Arial" w:cs="Arial"/>
                <w:spacing w:val="-26"/>
              </w:rPr>
              <w:t xml:space="preserve"> </w:t>
            </w:r>
            <w:r w:rsidR="00AF27DC" w:rsidRPr="005930DA">
              <w:rPr>
                <w:rFonts w:ascii="Arial" w:hAnsi="Arial" w:cs="Arial"/>
              </w:rPr>
              <w:t>assessment.</w:t>
            </w:r>
          </w:p>
          <w:p w14:paraId="4790B250" w14:textId="1D970430" w:rsidR="00AC790F" w:rsidRPr="005930DA" w:rsidRDefault="00AC790F" w:rsidP="00AF27DC">
            <w:pPr>
              <w:tabs>
                <w:tab w:val="left" w:pos="8040"/>
                <w:tab w:val="left" w:pos="8214"/>
              </w:tabs>
              <w:ind w:right="141"/>
              <w:jc w:val="both"/>
              <w:rPr>
                <w:rFonts w:ascii="Arial" w:hAnsi="Arial" w:cs="Arial"/>
              </w:rPr>
            </w:pPr>
          </w:p>
        </w:tc>
        <w:tc>
          <w:tcPr>
            <w:tcW w:w="708" w:type="dxa"/>
          </w:tcPr>
          <w:p w14:paraId="15157E6F" w14:textId="77777777" w:rsidR="00F10200" w:rsidRPr="00600E61" w:rsidRDefault="00F10200" w:rsidP="00AF27DC">
            <w:pPr>
              <w:pStyle w:val="TableParagraph"/>
              <w:spacing w:before="135"/>
              <w:ind w:left="56"/>
              <w:jc w:val="center"/>
              <w:rPr>
                <w:rFonts w:ascii="Arial" w:hAnsi="Arial" w:cs="Arial"/>
                <w:b/>
              </w:rPr>
            </w:pPr>
          </w:p>
        </w:tc>
      </w:tr>
    </w:tbl>
    <w:p w14:paraId="022A0882" w14:textId="77777777" w:rsidR="005B1944" w:rsidRPr="00600E61" w:rsidRDefault="005B1944" w:rsidP="005930DA">
      <w:pPr>
        <w:pStyle w:val="Heading1"/>
        <w:numPr>
          <w:ilvl w:val="1"/>
          <w:numId w:val="3"/>
        </w:numPr>
        <w:tabs>
          <w:tab w:val="left" w:pos="993"/>
        </w:tabs>
        <w:spacing w:before="101"/>
        <w:ind w:left="567" w:hanging="567"/>
        <w:rPr>
          <w:rFonts w:ascii="Arial" w:hAnsi="Arial" w:cs="Arial"/>
        </w:rPr>
      </w:pPr>
      <w:r w:rsidRPr="00600E61">
        <w:rPr>
          <w:rFonts w:ascii="Arial" w:hAnsi="Arial" w:cs="Arial"/>
        </w:rPr>
        <w:t>Risk</w:t>
      </w:r>
      <w:r w:rsidRPr="007956C0">
        <w:rPr>
          <w:rFonts w:ascii="Arial" w:hAnsi="Arial" w:cs="Arial"/>
        </w:rPr>
        <w:t xml:space="preserve"> </w:t>
      </w:r>
      <w:r w:rsidRPr="00600E61">
        <w:rPr>
          <w:rFonts w:ascii="Arial" w:hAnsi="Arial" w:cs="Arial"/>
        </w:rPr>
        <w:t>Profile</w:t>
      </w:r>
    </w:p>
    <w:p w14:paraId="21951BBA" w14:textId="77777777" w:rsidR="005B1944" w:rsidRPr="00600E61" w:rsidRDefault="005B1944" w:rsidP="005B1944">
      <w:pPr>
        <w:pStyle w:val="BodyText"/>
        <w:spacing w:before="3"/>
        <w:rPr>
          <w:rFonts w:ascii="Arial" w:hAnsi="Arial" w:cs="Arial"/>
          <w:b/>
          <w:sz w:val="23"/>
        </w:rPr>
      </w:pPr>
    </w:p>
    <w:p w14:paraId="70556066" w14:textId="77777777" w:rsidR="005B1944" w:rsidRPr="00600E61" w:rsidRDefault="005B1944" w:rsidP="005930DA">
      <w:pPr>
        <w:pStyle w:val="BodyText"/>
        <w:ind w:left="820" w:hanging="253"/>
        <w:rPr>
          <w:rFonts w:ascii="Arial" w:hAnsi="Arial" w:cs="Arial"/>
        </w:rPr>
      </w:pPr>
      <w:r w:rsidRPr="00600E61">
        <w:rPr>
          <w:rFonts w:ascii="Arial" w:hAnsi="Arial" w:cs="Arial"/>
        </w:rPr>
        <w:t>The Committee shall:</w:t>
      </w:r>
    </w:p>
    <w:p w14:paraId="0982542C" w14:textId="67E3D1EE" w:rsidR="005B1944" w:rsidRDefault="005B1944">
      <w:pPr>
        <w:pStyle w:val="BodyText"/>
        <w:rPr>
          <w:rFonts w:ascii="Arial" w:hAnsi="Arial" w:cs="Arial"/>
          <w:sz w:val="26"/>
        </w:rPr>
      </w:pPr>
    </w:p>
    <w:tbl>
      <w:tblPr>
        <w:tblW w:w="9923" w:type="dxa"/>
        <w:tblInd w:w="567" w:type="dxa"/>
        <w:tblLayout w:type="fixed"/>
        <w:tblCellMar>
          <w:left w:w="0" w:type="dxa"/>
          <w:right w:w="0" w:type="dxa"/>
        </w:tblCellMar>
        <w:tblLook w:val="01E0" w:firstRow="1" w:lastRow="1" w:firstColumn="1" w:lastColumn="1" w:noHBand="0" w:noVBand="0"/>
      </w:tblPr>
      <w:tblGrid>
        <w:gridCol w:w="869"/>
        <w:gridCol w:w="8345"/>
        <w:gridCol w:w="709"/>
      </w:tblGrid>
      <w:tr w:rsidR="005B1944" w:rsidRPr="00600E61" w14:paraId="25004D29" w14:textId="77777777" w:rsidTr="001E129D">
        <w:trPr>
          <w:trHeight w:val="945"/>
        </w:trPr>
        <w:tc>
          <w:tcPr>
            <w:tcW w:w="869" w:type="dxa"/>
          </w:tcPr>
          <w:p w14:paraId="65FA34EA" w14:textId="3CABB36D" w:rsidR="005B1944" w:rsidRPr="00600E61" w:rsidRDefault="00FF33DF" w:rsidP="005B1944">
            <w:pPr>
              <w:pStyle w:val="TableParagraph"/>
              <w:spacing w:before="3"/>
              <w:ind w:right="180"/>
              <w:jc w:val="right"/>
              <w:rPr>
                <w:rFonts w:ascii="Arial" w:hAnsi="Arial" w:cs="Arial"/>
              </w:rPr>
            </w:pPr>
            <w:r>
              <w:rPr>
                <w:rFonts w:ascii="Arial" w:hAnsi="Arial" w:cs="Arial"/>
              </w:rPr>
              <w:lastRenderedPageBreak/>
              <w:t>1</w:t>
            </w:r>
            <w:r w:rsidR="005B1944" w:rsidRPr="00600E61">
              <w:rPr>
                <w:rFonts w:ascii="Arial" w:hAnsi="Arial" w:cs="Arial"/>
              </w:rPr>
              <w:t>.2.1</w:t>
            </w:r>
          </w:p>
        </w:tc>
        <w:tc>
          <w:tcPr>
            <w:tcW w:w="8345" w:type="dxa"/>
          </w:tcPr>
          <w:p w14:paraId="03B96363" w14:textId="7F3D42C5" w:rsidR="005B1944" w:rsidRDefault="005B1944" w:rsidP="005930DA">
            <w:pPr>
              <w:pStyle w:val="TableParagraph"/>
              <w:spacing w:before="0"/>
              <w:ind w:left="120" w:right="141"/>
              <w:jc w:val="both"/>
              <w:rPr>
                <w:rFonts w:ascii="Arial" w:hAnsi="Arial" w:cs="Arial"/>
              </w:rPr>
            </w:pPr>
            <w:r w:rsidRPr="00600E61">
              <w:rPr>
                <w:rFonts w:ascii="Arial" w:hAnsi="Arial" w:cs="Arial"/>
              </w:rPr>
              <w:t>receive regular reports setting out the risk profile of the Group and report to the Board on its consideration of the above matters</w:t>
            </w:r>
            <w:r w:rsidR="00562499">
              <w:rPr>
                <w:rFonts w:ascii="Arial" w:hAnsi="Arial" w:cs="Arial"/>
              </w:rPr>
              <w:t xml:space="preserve"> and</w:t>
            </w:r>
            <w:r w:rsidRPr="00600E61">
              <w:rPr>
                <w:rFonts w:ascii="Arial" w:hAnsi="Arial" w:cs="Arial"/>
              </w:rPr>
              <w:t xml:space="preserve"> material breaches, identifying those areas where improvement is needed and making recommendations as appropriate;</w:t>
            </w:r>
          </w:p>
          <w:p w14:paraId="4ACCCF99" w14:textId="65A84704" w:rsidR="00CE7ED9" w:rsidRPr="00600E61" w:rsidRDefault="00CE7ED9" w:rsidP="005930DA">
            <w:pPr>
              <w:pStyle w:val="TableParagraph"/>
              <w:spacing w:before="0"/>
              <w:ind w:left="120" w:right="141"/>
              <w:jc w:val="both"/>
              <w:rPr>
                <w:rFonts w:ascii="Arial" w:hAnsi="Arial" w:cs="Arial"/>
              </w:rPr>
            </w:pPr>
          </w:p>
        </w:tc>
        <w:tc>
          <w:tcPr>
            <w:tcW w:w="709" w:type="dxa"/>
          </w:tcPr>
          <w:p w14:paraId="2E44EB36" w14:textId="77777777" w:rsidR="005B1944" w:rsidRPr="00600E61" w:rsidRDefault="005B1944" w:rsidP="005B1944">
            <w:pPr>
              <w:pStyle w:val="TableParagraph"/>
              <w:ind w:left="56"/>
              <w:jc w:val="center"/>
              <w:rPr>
                <w:rFonts w:ascii="Arial" w:hAnsi="Arial" w:cs="Arial"/>
                <w:b/>
              </w:rPr>
            </w:pPr>
          </w:p>
        </w:tc>
      </w:tr>
      <w:tr w:rsidR="005B1944" w:rsidRPr="00600E61" w14:paraId="13700CFC" w14:textId="77777777" w:rsidTr="001E129D">
        <w:trPr>
          <w:trHeight w:val="426"/>
        </w:trPr>
        <w:tc>
          <w:tcPr>
            <w:tcW w:w="869" w:type="dxa"/>
          </w:tcPr>
          <w:p w14:paraId="179CEFDE" w14:textId="220F2E1F" w:rsidR="005B1944" w:rsidRPr="00600E61" w:rsidRDefault="00C45069" w:rsidP="00DB45DA">
            <w:pPr>
              <w:pStyle w:val="TableParagraph"/>
              <w:spacing w:before="135"/>
              <w:ind w:right="180"/>
              <w:rPr>
                <w:rFonts w:ascii="Arial" w:hAnsi="Arial" w:cs="Arial"/>
              </w:rPr>
            </w:pPr>
            <w:r>
              <w:rPr>
                <w:rFonts w:ascii="Arial" w:hAnsi="Arial" w:cs="Arial"/>
              </w:rPr>
              <w:t xml:space="preserve">  </w:t>
            </w:r>
            <w:r w:rsidR="00FF33DF">
              <w:rPr>
                <w:rFonts w:ascii="Arial" w:hAnsi="Arial" w:cs="Arial"/>
              </w:rPr>
              <w:t>1</w:t>
            </w:r>
            <w:r w:rsidR="005B1944" w:rsidRPr="00600E61">
              <w:rPr>
                <w:rFonts w:ascii="Arial" w:hAnsi="Arial" w:cs="Arial"/>
              </w:rPr>
              <w:t>.2.2</w:t>
            </w:r>
          </w:p>
        </w:tc>
        <w:tc>
          <w:tcPr>
            <w:tcW w:w="8345" w:type="dxa"/>
          </w:tcPr>
          <w:p w14:paraId="7FAE38CE" w14:textId="761D87FC" w:rsidR="005B1944" w:rsidRDefault="005B1944" w:rsidP="005930DA">
            <w:pPr>
              <w:pStyle w:val="TableParagraph"/>
              <w:spacing w:before="0"/>
              <w:ind w:left="120" w:right="141"/>
              <w:jc w:val="both"/>
              <w:rPr>
                <w:rFonts w:ascii="Arial" w:hAnsi="Arial" w:cs="Arial"/>
              </w:rPr>
            </w:pPr>
            <w:r w:rsidRPr="00600E61">
              <w:rPr>
                <w:rFonts w:ascii="Arial" w:hAnsi="Arial" w:cs="Arial"/>
              </w:rPr>
              <w:t xml:space="preserve">carry out a robust assessment of the Group’s emerging and principal risks and report on the same to the Board so that the Board can confirm in the </w:t>
            </w:r>
            <w:r w:rsidR="00562499">
              <w:rPr>
                <w:rFonts w:ascii="Arial" w:hAnsi="Arial" w:cs="Arial"/>
              </w:rPr>
              <w:t>A</w:t>
            </w:r>
            <w:r w:rsidRPr="00600E61">
              <w:rPr>
                <w:rFonts w:ascii="Arial" w:hAnsi="Arial" w:cs="Arial"/>
              </w:rPr>
              <w:t xml:space="preserve">nnual </w:t>
            </w:r>
            <w:r w:rsidR="00562499">
              <w:rPr>
                <w:rFonts w:ascii="Arial" w:hAnsi="Arial" w:cs="Arial"/>
              </w:rPr>
              <w:t>R</w:t>
            </w:r>
            <w:r w:rsidRPr="00600E61">
              <w:rPr>
                <w:rFonts w:ascii="Arial" w:hAnsi="Arial" w:cs="Arial"/>
              </w:rPr>
              <w:t>eport that it has completed this assessment, including a</w:t>
            </w:r>
            <w:r w:rsidRPr="00600E61">
              <w:rPr>
                <w:rFonts w:ascii="Arial" w:hAnsi="Arial" w:cs="Arial"/>
                <w:spacing w:val="-42"/>
              </w:rPr>
              <w:t xml:space="preserve"> </w:t>
            </w:r>
            <w:r w:rsidRPr="00600E61">
              <w:rPr>
                <w:rFonts w:ascii="Arial" w:hAnsi="Arial" w:cs="Arial"/>
              </w:rPr>
              <w:t xml:space="preserve">description of its principal risks (to include but not limited to those that could result in events or circumstances that might threaten the Group’s business model, future performance, solvency or liquidity and reputation), what procedures are in place to identify emerging risks, and an explanation of how these are being managed or mitigated. </w:t>
            </w:r>
            <w:r w:rsidRPr="00600E61">
              <w:rPr>
                <w:rFonts w:ascii="Arial" w:hAnsi="Arial" w:cs="Arial"/>
                <w:spacing w:val="2"/>
              </w:rPr>
              <w:t xml:space="preserve">In </w:t>
            </w:r>
            <w:r w:rsidRPr="00600E61">
              <w:rPr>
                <w:rFonts w:ascii="Arial" w:hAnsi="Arial" w:cs="Arial"/>
              </w:rPr>
              <w:t>deciding which risks are principal</w:t>
            </w:r>
            <w:r w:rsidRPr="00600E61">
              <w:rPr>
                <w:rFonts w:ascii="Arial" w:hAnsi="Arial" w:cs="Arial"/>
                <w:spacing w:val="48"/>
              </w:rPr>
              <w:t xml:space="preserve"> </w:t>
            </w:r>
            <w:r w:rsidRPr="00600E61">
              <w:rPr>
                <w:rFonts w:ascii="Arial" w:hAnsi="Arial" w:cs="Arial"/>
              </w:rPr>
              <w:t>risks</w:t>
            </w:r>
            <w:r w:rsidR="00562499">
              <w:rPr>
                <w:rFonts w:ascii="Arial" w:hAnsi="Arial" w:cs="Arial"/>
              </w:rPr>
              <w:t>,</w:t>
            </w:r>
            <w:r w:rsidRPr="00600E61">
              <w:rPr>
                <w:rFonts w:ascii="Arial" w:hAnsi="Arial" w:cs="Arial"/>
                <w:spacing w:val="47"/>
              </w:rPr>
              <w:t xml:space="preserve"> </w:t>
            </w:r>
            <w:r w:rsidRPr="00600E61">
              <w:rPr>
                <w:rFonts w:ascii="Arial" w:hAnsi="Arial" w:cs="Arial"/>
              </w:rPr>
              <w:t>the</w:t>
            </w:r>
            <w:r w:rsidRPr="00600E61">
              <w:rPr>
                <w:rFonts w:ascii="Arial" w:hAnsi="Arial" w:cs="Arial"/>
                <w:spacing w:val="47"/>
              </w:rPr>
              <w:t xml:space="preserve"> </w:t>
            </w:r>
            <w:r w:rsidRPr="00600E61">
              <w:rPr>
                <w:rFonts w:ascii="Arial" w:hAnsi="Arial" w:cs="Arial"/>
              </w:rPr>
              <w:t>Committee</w:t>
            </w:r>
            <w:r w:rsidRPr="00600E61">
              <w:rPr>
                <w:rFonts w:ascii="Arial" w:hAnsi="Arial" w:cs="Arial"/>
                <w:spacing w:val="48"/>
              </w:rPr>
              <w:t xml:space="preserve"> </w:t>
            </w:r>
            <w:r w:rsidRPr="00600E61">
              <w:rPr>
                <w:rFonts w:ascii="Arial" w:hAnsi="Arial" w:cs="Arial"/>
              </w:rPr>
              <w:t>should</w:t>
            </w:r>
            <w:r w:rsidRPr="00600E61">
              <w:rPr>
                <w:rFonts w:ascii="Arial" w:hAnsi="Arial" w:cs="Arial"/>
                <w:spacing w:val="47"/>
              </w:rPr>
              <w:t xml:space="preserve"> </w:t>
            </w:r>
            <w:r w:rsidRPr="00600E61">
              <w:rPr>
                <w:rFonts w:ascii="Arial" w:hAnsi="Arial" w:cs="Arial"/>
              </w:rPr>
              <w:t>consider</w:t>
            </w:r>
            <w:r w:rsidRPr="00600E61">
              <w:rPr>
                <w:rFonts w:ascii="Arial" w:hAnsi="Arial" w:cs="Arial"/>
                <w:spacing w:val="48"/>
              </w:rPr>
              <w:t xml:space="preserve"> </w:t>
            </w:r>
            <w:r w:rsidRPr="00600E61">
              <w:rPr>
                <w:rFonts w:ascii="Arial" w:hAnsi="Arial" w:cs="Arial"/>
              </w:rPr>
              <w:t>the</w:t>
            </w:r>
            <w:r w:rsidRPr="00600E61">
              <w:rPr>
                <w:rFonts w:ascii="Arial" w:hAnsi="Arial" w:cs="Arial"/>
                <w:spacing w:val="47"/>
              </w:rPr>
              <w:t xml:space="preserve"> </w:t>
            </w:r>
            <w:r w:rsidRPr="00600E61">
              <w:rPr>
                <w:rFonts w:ascii="Arial" w:hAnsi="Arial" w:cs="Arial"/>
              </w:rPr>
              <w:t>potential</w:t>
            </w:r>
            <w:r w:rsidRPr="00600E61">
              <w:rPr>
                <w:rFonts w:ascii="Arial" w:hAnsi="Arial" w:cs="Arial"/>
                <w:spacing w:val="48"/>
              </w:rPr>
              <w:t xml:space="preserve"> </w:t>
            </w:r>
            <w:r w:rsidRPr="00600E61">
              <w:rPr>
                <w:rFonts w:ascii="Arial" w:hAnsi="Arial" w:cs="Arial"/>
              </w:rPr>
              <w:t>impact</w:t>
            </w:r>
            <w:r w:rsidRPr="00600E61">
              <w:rPr>
                <w:rFonts w:ascii="Arial" w:hAnsi="Arial" w:cs="Arial"/>
                <w:spacing w:val="46"/>
              </w:rPr>
              <w:t xml:space="preserve"> </w:t>
            </w:r>
            <w:r w:rsidRPr="00600E61">
              <w:rPr>
                <w:rFonts w:ascii="Arial" w:hAnsi="Arial" w:cs="Arial"/>
              </w:rPr>
              <w:t>and</w:t>
            </w:r>
            <w:r w:rsidR="00CA17BE">
              <w:rPr>
                <w:rFonts w:ascii="Arial" w:hAnsi="Arial" w:cs="Arial"/>
              </w:rPr>
              <w:t xml:space="preserve"> </w:t>
            </w:r>
            <w:r w:rsidRPr="00600E61">
              <w:rPr>
                <w:rFonts w:ascii="Arial" w:hAnsi="Arial" w:cs="Arial"/>
              </w:rPr>
              <w:t>probability of the related events or circumstances, and the timescale over which they may occur;</w:t>
            </w:r>
          </w:p>
          <w:p w14:paraId="7AAAE68B" w14:textId="737236D3" w:rsidR="002036D8" w:rsidRPr="00600E61" w:rsidRDefault="002036D8" w:rsidP="005930DA">
            <w:pPr>
              <w:pStyle w:val="TableParagraph"/>
              <w:spacing w:before="0"/>
              <w:ind w:left="120" w:right="141"/>
              <w:jc w:val="both"/>
              <w:rPr>
                <w:rFonts w:ascii="Arial" w:hAnsi="Arial" w:cs="Arial"/>
              </w:rPr>
            </w:pPr>
          </w:p>
        </w:tc>
        <w:tc>
          <w:tcPr>
            <w:tcW w:w="709" w:type="dxa"/>
          </w:tcPr>
          <w:p w14:paraId="095B6CF8" w14:textId="77777777" w:rsidR="005B1944" w:rsidRPr="00600E61" w:rsidRDefault="005B1944" w:rsidP="005B1944">
            <w:pPr>
              <w:pStyle w:val="TableParagraph"/>
              <w:spacing w:before="135"/>
              <w:ind w:left="56"/>
              <w:jc w:val="center"/>
              <w:rPr>
                <w:rFonts w:ascii="Arial" w:hAnsi="Arial" w:cs="Arial"/>
                <w:b/>
              </w:rPr>
            </w:pPr>
          </w:p>
        </w:tc>
      </w:tr>
      <w:tr w:rsidR="005B1944" w:rsidRPr="00600E61" w14:paraId="1F0AF0E4" w14:textId="77777777" w:rsidTr="001E129D">
        <w:trPr>
          <w:trHeight w:val="558"/>
        </w:trPr>
        <w:tc>
          <w:tcPr>
            <w:tcW w:w="869" w:type="dxa"/>
          </w:tcPr>
          <w:p w14:paraId="4CAEDD70" w14:textId="3B6926B7" w:rsidR="005B1944" w:rsidRPr="00600E61" w:rsidRDefault="00FF33DF" w:rsidP="005B1944">
            <w:pPr>
              <w:pStyle w:val="TableParagraph"/>
              <w:spacing w:before="135"/>
              <w:ind w:right="180"/>
              <w:jc w:val="right"/>
              <w:rPr>
                <w:rFonts w:ascii="Arial" w:hAnsi="Arial" w:cs="Arial"/>
              </w:rPr>
            </w:pPr>
            <w:bookmarkStart w:id="0" w:name="_Hlk116978490"/>
            <w:r>
              <w:rPr>
                <w:rFonts w:ascii="Arial" w:hAnsi="Arial" w:cs="Arial"/>
              </w:rPr>
              <w:t>1</w:t>
            </w:r>
            <w:r w:rsidR="005B1944" w:rsidRPr="00600E61">
              <w:rPr>
                <w:rFonts w:ascii="Arial" w:hAnsi="Arial" w:cs="Arial"/>
              </w:rPr>
              <w:t>.2.3</w:t>
            </w:r>
          </w:p>
        </w:tc>
        <w:tc>
          <w:tcPr>
            <w:tcW w:w="8345" w:type="dxa"/>
          </w:tcPr>
          <w:p w14:paraId="734737CE" w14:textId="4BFF10F3" w:rsidR="005B1944" w:rsidRDefault="005B1944" w:rsidP="005930DA">
            <w:pPr>
              <w:pStyle w:val="TableParagraph"/>
              <w:spacing w:before="0"/>
              <w:ind w:left="120" w:right="141"/>
              <w:jc w:val="both"/>
              <w:rPr>
                <w:rFonts w:ascii="Arial" w:hAnsi="Arial" w:cs="Arial"/>
              </w:rPr>
            </w:pPr>
            <w:r w:rsidRPr="00600E61">
              <w:rPr>
                <w:rFonts w:ascii="Arial" w:hAnsi="Arial" w:cs="Arial"/>
              </w:rPr>
              <w:t xml:space="preserve">consider and recommend to the Board for approval, </w:t>
            </w:r>
            <w:r w:rsidR="002E05B4" w:rsidRPr="00600E61">
              <w:rPr>
                <w:rFonts w:ascii="Arial" w:hAnsi="Arial" w:cs="Arial"/>
              </w:rPr>
              <w:t xml:space="preserve">the </w:t>
            </w:r>
            <w:r w:rsidR="002E05B4">
              <w:rPr>
                <w:rFonts w:ascii="Arial" w:hAnsi="Arial" w:cs="Arial"/>
              </w:rPr>
              <w:t>Internal Capital and Risk Assessment (ICARA) for UK regulated entities, including its assessment that the entities have sufficient own funds and liquid assets to minimise the potential to cause harm to the client, the market or the firm and the application of the ICARA principles in key decision-making processes</w:t>
            </w:r>
            <w:r w:rsidR="002E05B4" w:rsidRPr="00600E61">
              <w:rPr>
                <w:rFonts w:ascii="Arial" w:hAnsi="Arial" w:cs="Arial"/>
              </w:rPr>
              <w:t xml:space="preserve">, </w:t>
            </w:r>
            <w:r w:rsidR="002E05B4">
              <w:rPr>
                <w:rFonts w:ascii="Arial" w:hAnsi="Arial" w:cs="Arial"/>
              </w:rPr>
              <w:t>Wind Down</w:t>
            </w:r>
            <w:r w:rsidR="002E05B4" w:rsidRPr="00600E61">
              <w:rPr>
                <w:rFonts w:ascii="Arial" w:hAnsi="Arial" w:cs="Arial"/>
              </w:rPr>
              <w:t xml:space="preserve"> Plan</w:t>
            </w:r>
            <w:r w:rsidR="002E05B4">
              <w:rPr>
                <w:rFonts w:ascii="Arial" w:hAnsi="Arial" w:cs="Arial"/>
              </w:rPr>
              <w:t>s</w:t>
            </w:r>
            <w:r w:rsidR="002E05B4" w:rsidRPr="00600E61">
              <w:rPr>
                <w:rFonts w:ascii="Arial" w:hAnsi="Arial" w:cs="Arial"/>
              </w:rPr>
              <w:t xml:space="preserve"> </w:t>
            </w:r>
            <w:r w:rsidRPr="00600E61">
              <w:rPr>
                <w:rFonts w:ascii="Arial" w:hAnsi="Arial" w:cs="Arial"/>
              </w:rPr>
              <w:t>and other material risk</w:t>
            </w:r>
            <w:r w:rsidR="00CA17BE">
              <w:rPr>
                <w:rFonts w:ascii="Arial" w:hAnsi="Arial" w:cs="Arial"/>
              </w:rPr>
              <w:t>-</w:t>
            </w:r>
            <w:r w:rsidRPr="00600E61">
              <w:rPr>
                <w:rFonts w:ascii="Arial" w:hAnsi="Arial" w:cs="Arial"/>
              </w:rPr>
              <w:t xml:space="preserve">related regulatory submissions; </w:t>
            </w:r>
          </w:p>
          <w:p w14:paraId="0C992964" w14:textId="6F6AE7B0" w:rsidR="00C0526D" w:rsidRPr="00600E61" w:rsidRDefault="00C0526D" w:rsidP="005930DA">
            <w:pPr>
              <w:pStyle w:val="TableParagraph"/>
              <w:spacing w:before="0"/>
              <w:ind w:left="120" w:right="141"/>
              <w:jc w:val="both"/>
              <w:rPr>
                <w:rFonts w:ascii="Arial" w:hAnsi="Arial" w:cs="Arial"/>
              </w:rPr>
            </w:pPr>
          </w:p>
        </w:tc>
        <w:tc>
          <w:tcPr>
            <w:tcW w:w="709" w:type="dxa"/>
          </w:tcPr>
          <w:p w14:paraId="6AD596E6" w14:textId="133A0549" w:rsidR="005B1944" w:rsidRPr="00600E61" w:rsidRDefault="005B1944" w:rsidP="005B1944">
            <w:pPr>
              <w:pStyle w:val="TableParagraph"/>
              <w:spacing w:before="135"/>
              <w:ind w:left="56"/>
              <w:jc w:val="center"/>
              <w:rPr>
                <w:rFonts w:ascii="Arial" w:hAnsi="Arial" w:cs="Arial"/>
                <w:b/>
              </w:rPr>
            </w:pPr>
          </w:p>
        </w:tc>
      </w:tr>
      <w:bookmarkEnd w:id="0"/>
      <w:tr w:rsidR="005B1944" w:rsidRPr="00600E61" w14:paraId="00BF9114" w14:textId="77777777" w:rsidTr="001E129D">
        <w:trPr>
          <w:trHeight w:val="951"/>
        </w:trPr>
        <w:tc>
          <w:tcPr>
            <w:tcW w:w="869" w:type="dxa"/>
          </w:tcPr>
          <w:p w14:paraId="191DA01D" w14:textId="05BB080B" w:rsidR="005B1944" w:rsidRPr="00600E61" w:rsidRDefault="00FF33DF" w:rsidP="00D00EDA">
            <w:pPr>
              <w:pStyle w:val="TableParagraph"/>
              <w:spacing w:before="2"/>
              <w:jc w:val="center"/>
              <w:rPr>
                <w:rFonts w:ascii="Arial" w:hAnsi="Arial" w:cs="Arial"/>
              </w:rPr>
            </w:pPr>
            <w:r>
              <w:rPr>
                <w:rFonts w:ascii="Arial" w:hAnsi="Arial" w:cs="Arial"/>
              </w:rPr>
              <w:t>1</w:t>
            </w:r>
            <w:r w:rsidR="005B1944" w:rsidRPr="00600E61">
              <w:rPr>
                <w:rFonts w:ascii="Arial" w:hAnsi="Arial" w:cs="Arial"/>
              </w:rPr>
              <w:t>.2.4</w:t>
            </w:r>
          </w:p>
        </w:tc>
        <w:tc>
          <w:tcPr>
            <w:tcW w:w="8345" w:type="dxa"/>
          </w:tcPr>
          <w:p w14:paraId="20942A11" w14:textId="73303A20" w:rsidR="005B1944" w:rsidRPr="00600E61" w:rsidRDefault="005B1944" w:rsidP="00753309">
            <w:pPr>
              <w:pStyle w:val="TableParagraph"/>
              <w:spacing w:before="0"/>
              <w:ind w:left="120" w:right="141"/>
              <w:jc w:val="both"/>
              <w:rPr>
                <w:rFonts w:ascii="Arial" w:hAnsi="Arial" w:cs="Arial"/>
              </w:rPr>
            </w:pPr>
            <w:r w:rsidRPr="00600E61">
              <w:rPr>
                <w:rFonts w:ascii="Arial" w:hAnsi="Arial" w:cs="Arial"/>
              </w:rPr>
              <w:t>receive a</w:t>
            </w:r>
            <w:r w:rsidR="00962076">
              <w:rPr>
                <w:rFonts w:ascii="Arial" w:hAnsi="Arial" w:cs="Arial"/>
              </w:rPr>
              <w:t xml:space="preserve"> </w:t>
            </w:r>
            <w:r w:rsidRPr="00600E61">
              <w:rPr>
                <w:rFonts w:ascii="Arial" w:hAnsi="Arial" w:cs="Arial"/>
              </w:rPr>
              <w:t>report and dashboard</w:t>
            </w:r>
            <w:r w:rsidR="00962076">
              <w:rPr>
                <w:rFonts w:ascii="Arial" w:hAnsi="Arial" w:cs="Arial"/>
              </w:rPr>
              <w:t xml:space="preserve"> twice a year</w:t>
            </w:r>
            <w:r w:rsidRPr="00600E61">
              <w:rPr>
                <w:rFonts w:ascii="Arial" w:hAnsi="Arial" w:cs="Arial"/>
              </w:rPr>
              <w:t xml:space="preserve"> on the risks relating to the Group’s corporate culture covering Client Outcomes, Technology, </w:t>
            </w:r>
            <w:r w:rsidR="00962076">
              <w:rPr>
                <w:rFonts w:ascii="Arial" w:hAnsi="Arial" w:cs="Arial"/>
              </w:rPr>
              <w:t>R</w:t>
            </w:r>
            <w:r w:rsidRPr="00600E61">
              <w:rPr>
                <w:rFonts w:ascii="Arial" w:hAnsi="Arial" w:cs="Arial"/>
              </w:rPr>
              <w:t xml:space="preserve">egulatory </w:t>
            </w:r>
            <w:r w:rsidR="00962076">
              <w:rPr>
                <w:rFonts w:ascii="Arial" w:hAnsi="Arial" w:cs="Arial"/>
              </w:rPr>
              <w:t>O</w:t>
            </w:r>
            <w:r w:rsidRPr="00600E61">
              <w:rPr>
                <w:rFonts w:ascii="Arial" w:hAnsi="Arial" w:cs="Arial"/>
              </w:rPr>
              <w:t>utcomes, People Outcome</w:t>
            </w:r>
            <w:r w:rsidR="00962076">
              <w:rPr>
                <w:rFonts w:ascii="Arial" w:hAnsi="Arial" w:cs="Arial"/>
              </w:rPr>
              <w:t>s</w:t>
            </w:r>
            <w:r w:rsidRPr="00600E61">
              <w:rPr>
                <w:rFonts w:ascii="Arial" w:hAnsi="Arial" w:cs="Arial"/>
              </w:rPr>
              <w:t xml:space="preserve"> and Conduct in order to monitor</w:t>
            </w:r>
            <w:r>
              <w:rPr>
                <w:rFonts w:ascii="Arial" w:hAnsi="Arial" w:cs="Arial"/>
              </w:rPr>
              <w:t xml:space="preserve"> </w:t>
            </w:r>
            <w:r w:rsidRPr="00600E61">
              <w:rPr>
                <w:rFonts w:ascii="Arial" w:hAnsi="Arial" w:cs="Arial"/>
              </w:rPr>
              <w:t>long</w:t>
            </w:r>
            <w:r w:rsidR="00962076">
              <w:rPr>
                <w:rFonts w:ascii="Arial" w:hAnsi="Arial" w:cs="Arial"/>
              </w:rPr>
              <w:t>-</w:t>
            </w:r>
            <w:r w:rsidRPr="00600E61">
              <w:rPr>
                <w:rFonts w:ascii="Arial" w:hAnsi="Arial" w:cs="Arial"/>
              </w:rPr>
              <w:t>term trends</w:t>
            </w:r>
            <w:r w:rsidR="00D00EDA">
              <w:rPr>
                <w:rFonts w:ascii="Arial" w:hAnsi="Arial" w:cs="Arial"/>
              </w:rPr>
              <w:t>; and</w:t>
            </w:r>
          </w:p>
        </w:tc>
        <w:tc>
          <w:tcPr>
            <w:tcW w:w="709" w:type="dxa"/>
          </w:tcPr>
          <w:p w14:paraId="6F1E841F" w14:textId="1C32DD4E" w:rsidR="005B1944" w:rsidRPr="005B1944" w:rsidRDefault="005B1944" w:rsidP="005B1944">
            <w:pPr>
              <w:pStyle w:val="TableParagraph"/>
              <w:spacing w:before="135"/>
              <w:ind w:left="56"/>
              <w:jc w:val="center"/>
              <w:rPr>
                <w:rFonts w:ascii="Arial" w:hAnsi="Arial" w:cs="Arial"/>
              </w:rPr>
            </w:pPr>
          </w:p>
        </w:tc>
      </w:tr>
      <w:tr w:rsidR="00D00EDA" w:rsidRPr="00600E61" w14:paraId="0097645F" w14:textId="77777777" w:rsidTr="001E129D">
        <w:trPr>
          <w:trHeight w:val="942"/>
        </w:trPr>
        <w:tc>
          <w:tcPr>
            <w:tcW w:w="869" w:type="dxa"/>
          </w:tcPr>
          <w:p w14:paraId="43AEF223" w14:textId="03AAC9C3" w:rsidR="00D00EDA" w:rsidRPr="00600E61" w:rsidRDefault="00FF33DF" w:rsidP="00D00EDA">
            <w:pPr>
              <w:pStyle w:val="TableParagraph"/>
              <w:spacing w:before="2"/>
              <w:jc w:val="center"/>
              <w:rPr>
                <w:rFonts w:ascii="Arial" w:hAnsi="Arial" w:cs="Arial"/>
              </w:rPr>
            </w:pPr>
            <w:r>
              <w:rPr>
                <w:rFonts w:ascii="Arial" w:hAnsi="Arial" w:cs="Arial"/>
              </w:rPr>
              <w:t>1</w:t>
            </w:r>
            <w:r w:rsidR="00D00EDA">
              <w:rPr>
                <w:rFonts w:ascii="Arial" w:hAnsi="Arial" w:cs="Arial"/>
              </w:rPr>
              <w:t>.2.5</w:t>
            </w:r>
          </w:p>
        </w:tc>
        <w:tc>
          <w:tcPr>
            <w:tcW w:w="8345" w:type="dxa"/>
          </w:tcPr>
          <w:p w14:paraId="298C028E" w14:textId="25715A1E" w:rsidR="00D00EDA" w:rsidRPr="00600E61" w:rsidRDefault="00D00EDA" w:rsidP="005930DA">
            <w:pPr>
              <w:pStyle w:val="TableParagraph"/>
              <w:spacing w:before="0"/>
              <w:ind w:left="120" w:right="141"/>
              <w:jc w:val="both"/>
              <w:rPr>
                <w:rFonts w:ascii="Arial" w:hAnsi="Arial" w:cs="Arial"/>
              </w:rPr>
            </w:pPr>
            <w:r>
              <w:rPr>
                <w:rFonts w:ascii="Arial" w:hAnsi="Arial" w:cs="Arial"/>
              </w:rPr>
              <w:t xml:space="preserve">receive a report once a year on the Group’s exposure to climate related risks and opportunities in order to monitor trends and to consider whether such risks </w:t>
            </w:r>
            <w:r w:rsidR="008D598C">
              <w:rPr>
                <w:rFonts w:ascii="Arial" w:hAnsi="Arial" w:cs="Arial"/>
              </w:rPr>
              <w:t>s</w:t>
            </w:r>
            <w:r>
              <w:rPr>
                <w:rFonts w:ascii="Arial" w:hAnsi="Arial" w:cs="Arial"/>
              </w:rPr>
              <w:t>houl</w:t>
            </w:r>
            <w:r w:rsidR="008D598C">
              <w:rPr>
                <w:rFonts w:ascii="Arial" w:hAnsi="Arial" w:cs="Arial"/>
              </w:rPr>
              <w:t>d</w:t>
            </w:r>
            <w:r>
              <w:rPr>
                <w:rFonts w:ascii="Arial" w:hAnsi="Arial" w:cs="Arial"/>
              </w:rPr>
              <w:t xml:space="preserve"> be considered principal risks</w:t>
            </w:r>
            <w:r w:rsidR="00A90757">
              <w:rPr>
                <w:rFonts w:ascii="Arial" w:hAnsi="Arial" w:cs="Arial"/>
              </w:rPr>
              <w:t>.</w:t>
            </w:r>
          </w:p>
        </w:tc>
        <w:tc>
          <w:tcPr>
            <w:tcW w:w="709" w:type="dxa"/>
          </w:tcPr>
          <w:p w14:paraId="7B4AD341" w14:textId="77777777" w:rsidR="00D00EDA" w:rsidRPr="005B1944" w:rsidRDefault="00D00EDA" w:rsidP="005B1944">
            <w:pPr>
              <w:pStyle w:val="TableParagraph"/>
              <w:spacing w:before="135"/>
              <w:ind w:left="56"/>
              <w:jc w:val="center"/>
              <w:rPr>
                <w:rFonts w:ascii="Arial" w:hAnsi="Arial" w:cs="Arial"/>
                <w:b/>
              </w:rPr>
            </w:pPr>
          </w:p>
        </w:tc>
      </w:tr>
    </w:tbl>
    <w:p w14:paraId="6E8D1300" w14:textId="77777777" w:rsidR="00F10200" w:rsidRPr="00600E61" w:rsidRDefault="00D90F40" w:rsidP="005618B8">
      <w:pPr>
        <w:pStyle w:val="Heading1"/>
        <w:numPr>
          <w:ilvl w:val="1"/>
          <w:numId w:val="3"/>
        </w:numPr>
        <w:tabs>
          <w:tab w:val="left" w:pos="567"/>
        </w:tabs>
        <w:ind w:hanging="993"/>
        <w:rPr>
          <w:rFonts w:ascii="Arial" w:hAnsi="Arial" w:cs="Arial"/>
        </w:rPr>
      </w:pPr>
      <w:r w:rsidRPr="00600E61">
        <w:rPr>
          <w:rFonts w:ascii="Arial" w:hAnsi="Arial" w:cs="Arial"/>
        </w:rPr>
        <w:t>Risk Appetite, Framework and</w:t>
      </w:r>
      <w:r w:rsidRPr="00992F9E">
        <w:rPr>
          <w:rFonts w:ascii="Arial" w:hAnsi="Arial" w:cs="Arial"/>
        </w:rPr>
        <w:t xml:space="preserve"> </w:t>
      </w:r>
      <w:r w:rsidRPr="00600E61">
        <w:rPr>
          <w:rFonts w:ascii="Arial" w:hAnsi="Arial" w:cs="Arial"/>
        </w:rPr>
        <w:t>Limits</w:t>
      </w:r>
    </w:p>
    <w:p w14:paraId="351EE687" w14:textId="77777777" w:rsidR="00F10200" w:rsidRPr="00600E61" w:rsidRDefault="00F10200">
      <w:pPr>
        <w:pStyle w:val="BodyText"/>
        <w:spacing w:before="10"/>
        <w:rPr>
          <w:rFonts w:ascii="Arial" w:hAnsi="Arial" w:cs="Arial"/>
          <w:b/>
        </w:rPr>
      </w:pPr>
    </w:p>
    <w:p w14:paraId="7D7EA8DF" w14:textId="77777777" w:rsidR="00F10200" w:rsidRPr="00600E61" w:rsidRDefault="00D90F40" w:rsidP="005930DA">
      <w:pPr>
        <w:pStyle w:val="BodyText"/>
        <w:spacing w:before="1"/>
        <w:ind w:left="567"/>
        <w:rPr>
          <w:rFonts w:ascii="Arial" w:hAnsi="Arial" w:cs="Arial"/>
          <w:b/>
        </w:rPr>
      </w:pPr>
      <w:r w:rsidRPr="00600E61">
        <w:rPr>
          <w:rFonts w:ascii="Arial" w:hAnsi="Arial" w:cs="Arial"/>
        </w:rPr>
        <w:t>The Committee shall</w:t>
      </w:r>
      <w:r w:rsidRPr="00600E61">
        <w:rPr>
          <w:rFonts w:ascii="Arial" w:hAnsi="Arial" w:cs="Arial"/>
          <w:b/>
        </w:rPr>
        <w:t>:</w:t>
      </w:r>
    </w:p>
    <w:p w14:paraId="7F217F6C" w14:textId="77777777" w:rsidR="00F10200" w:rsidRPr="00600E61" w:rsidRDefault="00F10200">
      <w:pPr>
        <w:pStyle w:val="BodyText"/>
        <w:spacing w:before="9"/>
        <w:rPr>
          <w:rFonts w:ascii="Arial" w:hAnsi="Arial" w:cs="Arial"/>
          <w:b/>
        </w:rPr>
      </w:pPr>
    </w:p>
    <w:tbl>
      <w:tblPr>
        <w:tblW w:w="5225" w:type="pct"/>
        <w:tblInd w:w="567" w:type="dxa"/>
        <w:tblCellMar>
          <w:left w:w="0" w:type="dxa"/>
          <w:right w:w="0" w:type="dxa"/>
        </w:tblCellMar>
        <w:tblLook w:val="01E0" w:firstRow="1" w:lastRow="1" w:firstColumn="1" w:lastColumn="1" w:noHBand="0" w:noVBand="0"/>
      </w:tblPr>
      <w:tblGrid>
        <w:gridCol w:w="864"/>
        <w:gridCol w:w="8490"/>
        <w:gridCol w:w="719"/>
      </w:tblGrid>
      <w:tr w:rsidR="00A71C5F" w:rsidRPr="00600E61" w14:paraId="37A6AB0B" w14:textId="77777777" w:rsidTr="001E129D">
        <w:trPr>
          <w:trHeight w:val="657"/>
        </w:trPr>
        <w:tc>
          <w:tcPr>
            <w:tcW w:w="429" w:type="pct"/>
          </w:tcPr>
          <w:p w14:paraId="432261B9" w14:textId="6660C097" w:rsidR="00F10200" w:rsidRPr="00600E61" w:rsidRDefault="00FF33DF">
            <w:pPr>
              <w:pStyle w:val="TableParagraph"/>
              <w:ind w:right="180"/>
              <w:jc w:val="center"/>
              <w:rPr>
                <w:rFonts w:ascii="Arial" w:hAnsi="Arial" w:cs="Arial"/>
              </w:rPr>
            </w:pPr>
            <w:r>
              <w:rPr>
                <w:rFonts w:ascii="Arial" w:hAnsi="Arial" w:cs="Arial"/>
              </w:rPr>
              <w:t>1</w:t>
            </w:r>
            <w:r w:rsidR="00D90F40" w:rsidRPr="00600E61">
              <w:rPr>
                <w:rFonts w:ascii="Arial" w:hAnsi="Arial" w:cs="Arial"/>
              </w:rPr>
              <w:t>.3.1</w:t>
            </w:r>
          </w:p>
        </w:tc>
        <w:tc>
          <w:tcPr>
            <w:tcW w:w="4214" w:type="pct"/>
          </w:tcPr>
          <w:p w14:paraId="190BCA0E" w14:textId="195A606C" w:rsidR="00F10200" w:rsidRPr="00600E61" w:rsidRDefault="00D90F40" w:rsidP="005930DA">
            <w:pPr>
              <w:pStyle w:val="TableParagraph"/>
              <w:tabs>
                <w:tab w:val="left" w:pos="8073"/>
              </w:tabs>
              <w:spacing w:before="0"/>
              <w:ind w:left="135" w:right="282"/>
              <w:jc w:val="both"/>
              <w:rPr>
                <w:rFonts w:ascii="Arial" w:hAnsi="Arial" w:cs="Arial"/>
              </w:rPr>
            </w:pPr>
            <w:r w:rsidRPr="00600E61">
              <w:rPr>
                <w:rFonts w:ascii="Arial" w:hAnsi="Arial" w:cs="Arial"/>
              </w:rPr>
              <w:t>challenge</w:t>
            </w:r>
            <w:r w:rsidRPr="00600E61">
              <w:rPr>
                <w:rFonts w:ascii="Arial" w:hAnsi="Arial" w:cs="Arial"/>
                <w:spacing w:val="-7"/>
              </w:rPr>
              <w:t xml:space="preserve"> </w:t>
            </w:r>
            <w:r w:rsidRPr="00600E61">
              <w:rPr>
                <w:rFonts w:ascii="Arial" w:hAnsi="Arial" w:cs="Arial"/>
              </w:rPr>
              <w:t>rigorous</w:t>
            </w:r>
            <w:r w:rsidRPr="00600E61">
              <w:rPr>
                <w:rFonts w:ascii="Arial" w:hAnsi="Arial" w:cs="Arial"/>
                <w:spacing w:val="-7"/>
              </w:rPr>
              <w:t xml:space="preserve"> </w:t>
            </w:r>
            <w:r w:rsidRPr="00600E61">
              <w:rPr>
                <w:rFonts w:ascii="Arial" w:hAnsi="Arial" w:cs="Arial"/>
              </w:rPr>
              <w:t>stress</w:t>
            </w:r>
            <w:r w:rsidRPr="00600E61">
              <w:rPr>
                <w:rFonts w:ascii="Arial" w:hAnsi="Arial" w:cs="Arial"/>
                <w:spacing w:val="-7"/>
              </w:rPr>
              <w:t xml:space="preserve"> </w:t>
            </w:r>
            <w:r w:rsidRPr="00600E61">
              <w:rPr>
                <w:rFonts w:ascii="Arial" w:hAnsi="Arial" w:cs="Arial"/>
              </w:rPr>
              <w:t>and</w:t>
            </w:r>
            <w:r w:rsidRPr="00600E61">
              <w:rPr>
                <w:rFonts w:ascii="Arial" w:hAnsi="Arial" w:cs="Arial"/>
                <w:spacing w:val="-7"/>
              </w:rPr>
              <w:t xml:space="preserve"> </w:t>
            </w:r>
            <w:r w:rsidRPr="00600E61">
              <w:rPr>
                <w:rFonts w:ascii="Arial" w:hAnsi="Arial" w:cs="Arial"/>
              </w:rPr>
              <w:t>scenario</w:t>
            </w:r>
            <w:r w:rsidRPr="00600E61">
              <w:rPr>
                <w:rFonts w:ascii="Arial" w:hAnsi="Arial" w:cs="Arial"/>
                <w:spacing w:val="-7"/>
              </w:rPr>
              <w:t xml:space="preserve"> </w:t>
            </w:r>
            <w:r w:rsidRPr="00600E61">
              <w:rPr>
                <w:rFonts w:ascii="Arial" w:hAnsi="Arial" w:cs="Arial"/>
              </w:rPr>
              <w:t>testing</w:t>
            </w:r>
            <w:r w:rsidRPr="00600E61">
              <w:rPr>
                <w:rFonts w:ascii="Arial" w:hAnsi="Arial" w:cs="Arial"/>
                <w:spacing w:val="-10"/>
              </w:rPr>
              <w:t xml:space="preserve"> </w:t>
            </w:r>
            <w:r w:rsidRPr="00600E61">
              <w:rPr>
                <w:rFonts w:ascii="Arial" w:hAnsi="Arial" w:cs="Arial"/>
              </w:rPr>
              <w:t>of</w:t>
            </w:r>
            <w:r w:rsidRPr="00600E61">
              <w:rPr>
                <w:rFonts w:ascii="Arial" w:hAnsi="Arial" w:cs="Arial"/>
                <w:spacing w:val="-8"/>
              </w:rPr>
              <w:t xml:space="preserve"> </w:t>
            </w:r>
            <w:r w:rsidRPr="00600E61">
              <w:rPr>
                <w:rFonts w:ascii="Arial" w:hAnsi="Arial" w:cs="Arial"/>
              </w:rPr>
              <w:t>the</w:t>
            </w:r>
            <w:r w:rsidRPr="00600E61">
              <w:rPr>
                <w:rFonts w:ascii="Arial" w:hAnsi="Arial" w:cs="Arial"/>
                <w:spacing w:val="-3"/>
              </w:rPr>
              <w:t xml:space="preserve"> </w:t>
            </w:r>
            <w:r w:rsidR="00C31C40" w:rsidRPr="00600E61">
              <w:rPr>
                <w:rFonts w:ascii="Arial" w:hAnsi="Arial" w:cs="Arial"/>
              </w:rPr>
              <w:t>G</w:t>
            </w:r>
            <w:r w:rsidRPr="00600E61">
              <w:rPr>
                <w:rFonts w:ascii="Arial" w:hAnsi="Arial" w:cs="Arial"/>
              </w:rPr>
              <w:t>roup’s</w:t>
            </w:r>
            <w:r w:rsidRPr="00600E61">
              <w:rPr>
                <w:rFonts w:ascii="Arial" w:hAnsi="Arial" w:cs="Arial"/>
                <w:spacing w:val="-7"/>
              </w:rPr>
              <w:t xml:space="preserve"> </w:t>
            </w:r>
            <w:r w:rsidRPr="00600E61">
              <w:rPr>
                <w:rFonts w:ascii="Arial" w:hAnsi="Arial" w:cs="Arial"/>
              </w:rPr>
              <w:t>business</w:t>
            </w:r>
            <w:r w:rsidRPr="00600E61">
              <w:rPr>
                <w:rFonts w:ascii="Arial" w:hAnsi="Arial" w:cs="Arial"/>
                <w:spacing w:val="-8"/>
              </w:rPr>
              <w:t xml:space="preserve"> </w:t>
            </w:r>
            <w:r w:rsidRPr="00600E61">
              <w:rPr>
                <w:rFonts w:ascii="Arial" w:hAnsi="Arial" w:cs="Arial"/>
              </w:rPr>
              <w:t>and</w:t>
            </w:r>
            <w:r w:rsidRPr="00600E61">
              <w:rPr>
                <w:rFonts w:ascii="Arial" w:hAnsi="Arial" w:cs="Arial"/>
                <w:spacing w:val="-7"/>
              </w:rPr>
              <w:t xml:space="preserve"> </w:t>
            </w:r>
            <w:r w:rsidRPr="00600E61">
              <w:rPr>
                <w:rFonts w:ascii="Arial" w:hAnsi="Arial" w:cs="Arial"/>
              </w:rPr>
              <w:t xml:space="preserve">receive reports that explain the impact of identified risks and threats to the </w:t>
            </w:r>
            <w:r w:rsidR="00C22CB0">
              <w:rPr>
                <w:rFonts w:ascii="Arial" w:hAnsi="Arial" w:cs="Arial"/>
              </w:rPr>
              <w:t>G</w:t>
            </w:r>
            <w:r w:rsidRPr="00600E61">
              <w:rPr>
                <w:rFonts w:ascii="Arial" w:hAnsi="Arial" w:cs="Arial"/>
              </w:rPr>
              <w:t>roup;</w:t>
            </w:r>
          </w:p>
        </w:tc>
        <w:tc>
          <w:tcPr>
            <w:tcW w:w="358" w:type="pct"/>
          </w:tcPr>
          <w:p w14:paraId="794ABFDD" w14:textId="77777777" w:rsidR="00C0526D" w:rsidRDefault="00C0526D" w:rsidP="005930DA">
            <w:pPr>
              <w:pStyle w:val="TableParagraph"/>
              <w:spacing w:before="0"/>
              <w:ind w:hanging="55"/>
              <w:jc w:val="center"/>
              <w:rPr>
                <w:rFonts w:ascii="Arial" w:hAnsi="Arial" w:cs="Arial"/>
                <w:b/>
              </w:rPr>
            </w:pPr>
          </w:p>
          <w:p w14:paraId="74533860" w14:textId="28C95718" w:rsidR="00F10200" w:rsidRPr="00600E61" w:rsidRDefault="00F10200" w:rsidP="005930DA">
            <w:pPr>
              <w:pStyle w:val="TableParagraph"/>
              <w:spacing w:before="0"/>
              <w:ind w:hanging="55"/>
              <w:jc w:val="center"/>
              <w:rPr>
                <w:rFonts w:ascii="Arial" w:hAnsi="Arial" w:cs="Arial"/>
                <w:b/>
              </w:rPr>
            </w:pPr>
          </w:p>
        </w:tc>
      </w:tr>
      <w:tr w:rsidR="00A71C5F" w:rsidRPr="00600E61" w14:paraId="6A105D43" w14:textId="77777777" w:rsidTr="001E129D">
        <w:trPr>
          <w:trHeight w:val="540"/>
        </w:trPr>
        <w:tc>
          <w:tcPr>
            <w:tcW w:w="429" w:type="pct"/>
          </w:tcPr>
          <w:p w14:paraId="0FFC9BB1" w14:textId="4F1EFF52" w:rsidR="00F10200" w:rsidRPr="00600E61" w:rsidRDefault="00FF33DF">
            <w:pPr>
              <w:pStyle w:val="TableParagraph"/>
              <w:spacing w:before="135"/>
              <w:ind w:right="180"/>
              <w:jc w:val="center"/>
              <w:rPr>
                <w:rFonts w:ascii="Arial" w:hAnsi="Arial" w:cs="Arial"/>
              </w:rPr>
            </w:pPr>
            <w:r>
              <w:rPr>
                <w:rFonts w:ascii="Arial" w:hAnsi="Arial" w:cs="Arial"/>
              </w:rPr>
              <w:t>1</w:t>
            </w:r>
            <w:r w:rsidR="00D90F40" w:rsidRPr="00600E61">
              <w:rPr>
                <w:rFonts w:ascii="Arial" w:hAnsi="Arial" w:cs="Arial"/>
              </w:rPr>
              <w:t>.3.2</w:t>
            </w:r>
          </w:p>
        </w:tc>
        <w:tc>
          <w:tcPr>
            <w:tcW w:w="4214" w:type="pct"/>
          </w:tcPr>
          <w:p w14:paraId="68ED8ED8" w14:textId="77777777" w:rsidR="00F10200" w:rsidRPr="00600E61" w:rsidRDefault="00D90F40" w:rsidP="005930DA">
            <w:pPr>
              <w:pStyle w:val="TableParagraph"/>
              <w:tabs>
                <w:tab w:val="left" w:pos="8214"/>
              </w:tabs>
              <w:spacing w:before="0"/>
              <w:ind w:left="135" w:right="282"/>
              <w:jc w:val="both"/>
              <w:rPr>
                <w:rFonts w:ascii="Arial" w:hAnsi="Arial" w:cs="Arial"/>
              </w:rPr>
            </w:pPr>
            <w:r w:rsidRPr="00600E61">
              <w:rPr>
                <w:rFonts w:ascii="Arial" w:hAnsi="Arial" w:cs="Arial"/>
              </w:rPr>
              <w:t>ensure a sufficient level of risk mitigation is in place;</w:t>
            </w:r>
          </w:p>
        </w:tc>
        <w:tc>
          <w:tcPr>
            <w:tcW w:w="358" w:type="pct"/>
          </w:tcPr>
          <w:p w14:paraId="7C8DE17C" w14:textId="7335D131" w:rsidR="00F10200" w:rsidRPr="00600E61" w:rsidRDefault="00F10200" w:rsidP="005930DA">
            <w:pPr>
              <w:pStyle w:val="TableParagraph"/>
              <w:spacing w:before="0"/>
              <w:jc w:val="center"/>
              <w:rPr>
                <w:rFonts w:ascii="Arial" w:hAnsi="Arial" w:cs="Arial"/>
                <w:b/>
              </w:rPr>
            </w:pPr>
          </w:p>
        </w:tc>
      </w:tr>
      <w:tr w:rsidR="00A71C5F" w:rsidRPr="00600E61" w14:paraId="05B38099" w14:textId="77777777" w:rsidTr="001E129D">
        <w:trPr>
          <w:trHeight w:val="538"/>
        </w:trPr>
        <w:tc>
          <w:tcPr>
            <w:tcW w:w="429" w:type="pct"/>
          </w:tcPr>
          <w:p w14:paraId="10D6C010" w14:textId="72A72DEC" w:rsidR="00F10200" w:rsidRPr="00600E61" w:rsidRDefault="00FF33DF">
            <w:pPr>
              <w:pStyle w:val="TableParagraph"/>
              <w:spacing w:before="135"/>
              <w:ind w:right="180"/>
              <w:jc w:val="center"/>
              <w:rPr>
                <w:rFonts w:ascii="Arial" w:hAnsi="Arial" w:cs="Arial"/>
              </w:rPr>
            </w:pPr>
            <w:r>
              <w:rPr>
                <w:rFonts w:ascii="Arial" w:hAnsi="Arial" w:cs="Arial"/>
              </w:rPr>
              <w:t>1</w:t>
            </w:r>
            <w:r w:rsidR="00D90F40" w:rsidRPr="00600E61">
              <w:rPr>
                <w:rFonts w:ascii="Arial" w:hAnsi="Arial" w:cs="Arial"/>
              </w:rPr>
              <w:t>.3.3</w:t>
            </w:r>
          </w:p>
        </w:tc>
        <w:tc>
          <w:tcPr>
            <w:tcW w:w="4214" w:type="pct"/>
          </w:tcPr>
          <w:p w14:paraId="1992EECC" w14:textId="0626C887" w:rsidR="00F10200" w:rsidRPr="00600E61" w:rsidRDefault="00D90F40" w:rsidP="005930DA">
            <w:pPr>
              <w:pStyle w:val="TableParagraph"/>
              <w:tabs>
                <w:tab w:val="left" w:pos="8073"/>
              </w:tabs>
              <w:spacing w:before="0"/>
              <w:ind w:left="135" w:right="282"/>
              <w:jc w:val="both"/>
              <w:rPr>
                <w:rFonts w:ascii="Arial" w:hAnsi="Arial" w:cs="Arial"/>
              </w:rPr>
            </w:pPr>
            <w:r w:rsidRPr="00600E61">
              <w:rPr>
                <w:rFonts w:ascii="Arial" w:hAnsi="Arial" w:cs="Arial"/>
              </w:rPr>
              <w:t xml:space="preserve">receive and challenge the major risk exposures of the </w:t>
            </w:r>
            <w:r w:rsidR="00C31C40" w:rsidRPr="00600E61">
              <w:rPr>
                <w:rFonts w:ascii="Arial" w:hAnsi="Arial" w:cs="Arial"/>
              </w:rPr>
              <w:t>G</w:t>
            </w:r>
            <w:r w:rsidRPr="00600E61">
              <w:rPr>
                <w:rFonts w:ascii="Arial" w:hAnsi="Arial" w:cs="Arial"/>
              </w:rPr>
              <w:t>roup.</w:t>
            </w:r>
          </w:p>
        </w:tc>
        <w:tc>
          <w:tcPr>
            <w:tcW w:w="358" w:type="pct"/>
          </w:tcPr>
          <w:p w14:paraId="34DFB870" w14:textId="1299B0F2" w:rsidR="00F10200" w:rsidRPr="00600E61" w:rsidRDefault="00F10200" w:rsidP="005930DA">
            <w:pPr>
              <w:pStyle w:val="TableParagraph"/>
              <w:spacing w:before="0"/>
              <w:jc w:val="center"/>
              <w:rPr>
                <w:rFonts w:ascii="Arial" w:hAnsi="Arial" w:cs="Arial"/>
                <w:b/>
              </w:rPr>
            </w:pPr>
          </w:p>
        </w:tc>
      </w:tr>
      <w:tr w:rsidR="00A71C5F" w:rsidRPr="00600E61" w14:paraId="536BCCCD" w14:textId="77777777" w:rsidTr="001E129D">
        <w:trPr>
          <w:trHeight w:val="1079"/>
        </w:trPr>
        <w:tc>
          <w:tcPr>
            <w:tcW w:w="429" w:type="pct"/>
          </w:tcPr>
          <w:p w14:paraId="5259343D" w14:textId="2D25F148" w:rsidR="00F10200" w:rsidRPr="00600E61" w:rsidRDefault="00FF33DF">
            <w:pPr>
              <w:pStyle w:val="TableParagraph"/>
              <w:spacing w:before="134"/>
              <w:ind w:right="180"/>
              <w:jc w:val="center"/>
              <w:rPr>
                <w:rFonts w:ascii="Arial" w:hAnsi="Arial" w:cs="Arial"/>
              </w:rPr>
            </w:pPr>
            <w:r>
              <w:rPr>
                <w:rFonts w:ascii="Arial" w:hAnsi="Arial" w:cs="Arial"/>
              </w:rPr>
              <w:t>1</w:t>
            </w:r>
            <w:r w:rsidR="00D90F40" w:rsidRPr="00600E61">
              <w:rPr>
                <w:rFonts w:ascii="Arial" w:hAnsi="Arial" w:cs="Arial"/>
              </w:rPr>
              <w:t>.3.4</w:t>
            </w:r>
          </w:p>
        </w:tc>
        <w:tc>
          <w:tcPr>
            <w:tcW w:w="4214" w:type="pct"/>
          </w:tcPr>
          <w:p w14:paraId="4335ED04" w14:textId="3B31DDE9" w:rsidR="00F10200" w:rsidRPr="00600E61" w:rsidRDefault="00D90F40" w:rsidP="005930DA">
            <w:pPr>
              <w:pStyle w:val="TableParagraph"/>
              <w:tabs>
                <w:tab w:val="left" w:pos="7789"/>
              </w:tabs>
              <w:spacing w:before="0"/>
              <w:ind w:left="135" w:right="282"/>
              <w:jc w:val="both"/>
              <w:rPr>
                <w:rFonts w:ascii="Arial" w:hAnsi="Arial" w:cs="Arial"/>
              </w:rPr>
            </w:pPr>
            <w:r w:rsidRPr="00600E61">
              <w:rPr>
                <w:rFonts w:ascii="Arial" w:hAnsi="Arial" w:cs="Arial"/>
              </w:rPr>
              <w:t xml:space="preserve">consider and recommend to the Board for approval the </w:t>
            </w:r>
            <w:r w:rsidR="00C31C40" w:rsidRPr="00600E61">
              <w:rPr>
                <w:rFonts w:ascii="Arial" w:hAnsi="Arial" w:cs="Arial"/>
              </w:rPr>
              <w:t>G</w:t>
            </w:r>
            <w:r w:rsidRPr="00600E61">
              <w:rPr>
                <w:rFonts w:ascii="Arial" w:hAnsi="Arial" w:cs="Arial"/>
              </w:rPr>
              <w:t xml:space="preserve">roup’s overall risk appetite and key risk indicators for current and future strategy, taking into account the </w:t>
            </w:r>
            <w:r w:rsidR="00C22CB0">
              <w:rPr>
                <w:rFonts w:ascii="Arial" w:hAnsi="Arial" w:cs="Arial"/>
              </w:rPr>
              <w:t>G</w:t>
            </w:r>
            <w:r w:rsidRPr="00600E61">
              <w:rPr>
                <w:rFonts w:ascii="Arial" w:hAnsi="Arial" w:cs="Arial"/>
              </w:rPr>
              <w:t>roup’s capital adequacy and the external risk environment;</w:t>
            </w:r>
            <w:r w:rsidR="009F015B" w:rsidRPr="00600E61">
              <w:rPr>
                <w:rFonts w:ascii="Arial" w:hAnsi="Arial" w:cs="Arial"/>
              </w:rPr>
              <w:t xml:space="preserve"> and</w:t>
            </w:r>
          </w:p>
        </w:tc>
        <w:tc>
          <w:tcPr>
            <w:tcW w:w="358" w:type="pct"/>
          </w:tcPr>
          <w:p w14:paraId="06D278AA" w14:textId="23A627EE" w:rsidR="00F10200" w:rsidRPr="00600E61" w:rsidRDefault="00F10200" w:rsidP="005930DA">
            <w:pPr>
              <w:pStyle w:val="TableParagraph"/>
              <w:spacing w:before="0"/>
              <w:jc w:val="center"/>
              <w:rPr>
                <w:rFonts w:ascii="Arial" w:hAnsi="Arial" w:cs="Arial"/>
                <w:b/>
              </w:rPr>
            </w:pPr>
          </w:p>
        </w:tc>
      </w:tr>
      <w:tr w:rsidR="00A71C5F" w:rsidRPr="00600E61" w14:paraId="181A031B" w14:textId="77777777" w:rsidTr="001E129D">
        <w:trPr>
          <w:trHeight w:val="486"/>
        </w:trPr>
        <w:tc>
          <w:tcPr>
            <w:tcW w:w="429" w:type="pct"/>
          </w:tcPr>
          <w:p w14:paraId="699CB368" w14:textId="3856A7F5" w:rsidR="00F10200" w:rsidRPr="00600E61" w:rsidRDefault="00FF33DF">
            <w:pPr>
              <w:pStyle w:val="TableParagraph"/>
              <w:spacing w:before="135"/>
              <w:ind w:right="180"/>
              <w:jc w:val="center"/>
              <w:rPr>
                <w:rFonts w:ascii="Arial" w:hAnsi="Arial" w:cs="Arial"/>
              </w:rPr>
            </w:pPr>
            <w:r>
              <w:rPr>
                <w:rFonts w:ascii="Arial" w:hAnsi="Arial" w:cs="Arial"/>
              </w:rPr>
              <w:t>1</w:t>
            </w:r>
            <w:r w:rsidR="00D90F40" w:rsidRPr="00600E61">
              <w:rPr>
                <w:rFonts w:ascii="Arial" w:hAnsi="Arial" w:cs="Arial"/>
              </w:rPr>
              <w:t>.3.5</w:t>
            </w:r>
          </w:p>
        </w:tc>
        <w:tc>
          <w:tcPr>
            <w:tcW w:w="4214" w:type="pct"/>
          </w:tcPr>
          <w:p w14:paraId="56EE9A40" w14:textId="031B02D9" w:rsidR="00F10200" w:rsidRPr="00600E61" w:rsidRDefault="00D90F40" w:rsidP="005930DA">
            <w:pPr>
              <w:pStyle w:val="TableParagraph"/>
              <w:tabs>
                <w:tab w:val="left" w:pos="8073"/>
              </w:tabs>
              <w:spacing w:before="0"/>
              <w:ind w:left="135" w:right="282"/>
              <w:jc w:val="both"/>
              <w:rPr>
                <w:rFonts w:ascii="Arial" w:hAnsi="Arial" w:cs="Arial"/>
              </w:rPr>
            </w:pPr>
            <w:r w:rsidRPr="00600E61">
              <w:rPr>
                <w:rFonts w:ascii="Arial" w:hAnsi="Arial" w:cs="Arial"/>
              </w:rPr>
              <w:t xml:space="preserve">discuss and recommend to the Board for approval, the </w:t>
            </w:r>
            <w:r w:rsidR="00C31C40" w:rsidRPr="00600E61">
              <w:rPr>
                <w:rFonts w:ascii="Arial" w:hAnsi="Arial" w:cs="Arial"/>
              </w:rPr>
              <w:t>G</w:t>
            </w:r>
            <w:r w:rsidRPr="00600E61">
              <w:rPr>
                <w:rFonts w:ascii="Arial" w:hAnsi="Arial" w:cs="Arial"/>
              </w:rPr>
              <w:t>roup’s Risk Appetite</w:t>
            </w:r>
            <w:r w:rsidR="00C22CB0">
              <w:rPr>
                <w:rFonts w:ascii="Arial" w:hAnsi="Arial" w:cs="Arial"/>
              </w:rPr>
              <w:t xml:space="preserve"> </w:t>
            </w:r>
            <w:r w:rsidRPr="00600E61">
              <w:rPr>
                <w:rFonts w:ascii="Arial" w:hAnsi="Arial" w:cs="Arial"/>
              </w:rPr>
              <w:t>Statement.</w:t>
            </w:r>
          </w:p>
        </w:tc>
        <w:tc>
          <w:tcPr>
            <w:tcW w:w="358" w:type="pct"/>
          </w:tcPr>
          <w:p w14:paraId="1AA070F4" w14:textId="6F763B51" w:rsidR="00F10200" w:rsidRPr="00600E61" w:rsidRDefault="00F10200" w:rsidP="005930DA">
            <w:pPr>
              <w:pStyle w:val="TableParagraph"/>
              <w:spacing w:before="0"/>
              <w:jc w:val="center"/>
              <w:rPr>
                <w:rFonts w:ascii="Arial" w:hAnsi="Arial" w:cs="Arial"/>
                <w:b/>
              </w:rPr>
            </w:pPr>
          </w:p>
        </w:tc>
      </w:tr>
    </w:tbl>
    <w:p w14:paraId="38F5DAB5" w14:textId="77777777" w:rsidR="00F10200" w:rsidRDefault="00F10200">
      <w:pPr>
        <w:pStyle w:val="BodyText"/>
        <w:rPr>
          <w:rFonts w:ascii="Arial" w:hAnsi="Arial" w:cs="Arial"/>
          <w:b/>
        </w:rPr>
      </w:pPr>
    </w:p>
    <w:p w14:paraId="4AD41890" w14:textId="211CF93C" w:rsidR="00F10200" w:rsidRPr="00600E61" w:rsidRDefault="00D90F40" w:rsidP="005930DA">
      <w:pPr>
        <w:pStyle w:val="Heading1"/>
        <w:numPr>
          <w:ilvl w:val="1"/>
          <w:numId w:val="3"/>
        </w:numPr>
        <w:ind w:left="567" w:hanging="567"/>
        <w:jc w:val="both"/>
        <w:rPr>
          <w:rFonts w:ascii="Arial" w:hAnsi="Arial" w:cs="Arial"/>
        </w:rPr>
      </w:pPr>
      <w:r w:rsidRPr="00600E61">
        <w:rPr>
          <w:rFonts w:ascii="Arial" w:hAnsi="Arial" w:cs="Arial"/>
        </w:rPr>
        <w:t xml:space="preserve">Risk Management </w:t>
      </w:r>
      <w:r w:rsidR="00FC7020">
        <w:rPr>
          <w:rFonts w:ascii="Arial" w:hAnsi="Arial" w:cs="Arial"/>
        </w:rPr>
        <w:t>D</w:t>
      </w:r>
      <w:r w:rsidRPr="00600E61">
        <w:rPr>
          <w:rFonts w:ascii="Arial" w:hAnsi="Arial" w:cs="Arial"/>
        </w:rPr>
        <w:t xml:space="preserve">epartment and </w:t>
      </w:r>
      <w:r w:rsidR="00FC7020">
        <w:rPr>
          <w:rFonts w:ascii="Arial" w:hAnsi="Arial" w:cs="Arial"/>
        </w:rPr>
        <w:t>C</w:t>
      </w:r>
      <w:r w:rsidRPr="00600E61">
        <w:rPr>
          <w:rFonts w:ascii="Arial" w:hAnsi="Arial" w:cs="Arial"/>
        </w:rPr>
        <w:t>ontrol</w:t>
      </w:r>
      <w:r w:rsidRPr="00992F9E">
        <w:rPr>
          <w:rFonts w:ascii="Arial" w:hAnsi="Arial" w:cs="Arial"/>
        </w:rPr>
        <w:t xml:space="preserve"> </w:t>
      </w:r>
      <w:r w:rsidR="00FC7020">
        <w:rPr>
          <w:rFonts w:ascii="Arial" w:hAnsi="Arial" w:cs="Arial"/>
        </w:rPr>
        <w:t>F</w:t>
      </w:r>
      <w:r w:rsidRPr="00600E61">
        <w:rPr>
          <w:rFonts w:ascii="Arial" w:hAnsi="Arial" w:cs="Arial"/>
        </w:rPr>
        <w:t>unctions</w:t>
      </w:r>
    </w:p>
    <w:p w14:paraId="45BF18BD" w14:textId="77777777" w:rsidR="00F10200" w:rsidRPr="00600E61" w:rsidRDefault="00F10200" w:rsidP="005930DA">
      <w:pPr>
        <w:pStyle w:val="BodyText"/>
        <w:jc w:val="both"/>
        <w:rPr>
          <w:rFonts w:ascii="Arial" w:hAnsi="Arial" w:cs="Arial"/>
          <w:b/>
        </w:rPr>
      </w:pPr>
    </w:p>
    <w:p w14:paraId="4F24EEFD" w14:textId="77777777" w:rsidR="00F10200" w:rsidRPr="00600E61" w:rsidRDefault="00D90F40" w:rsidP="005930DA">
      <w:pPr>
        <w:pStyle w:val="BodyText"/>
        <w:ind w:left="567"/>
        <w:jc w:val="both"/>
        <w:rPr>
          <w:rFonts w:ascii="Arial" w:hAnsi="Arial" w:cs="Arial"/>
        </w:rPr>
      </w:pPr>
      <w:r w:rsidRPr="00600E61">
        <w:rPr>
          <w:rFonts w:ascii="Arial" w:hAnsi="Arial" w:cs="Arial"/>
        </w:rPr>
        <w:t>The Committee shall:</w:t>
      </w:r>
    </w:p>
    <w:p w14:paraId="56F14211" w14:textId="77777777" w:rsidR="00F10200" w:rsidRPr="00600E61" w:rsidRDefault="00F10200" w:rsidP="005930DA">
      <w:pPr>
        <w:pStyle w:val="BodyText"/>
        <w:jc w:val="both"/>
        <w:rPr>
          <w:rFonts w:ascii="Arial" w:hAnsi="Arial" w:cs="Arial"/>
          <w:sz w:val="21"/>
        </w:rPr>
      </w:pPr>
    </w:p>
    <w:tbl>
      <w:tblPr>
        <w:tblW w:w="9923" w:type="dxa"/>
        <w:tblInd w:w="567" w:type="dxa"/>
        <w:tblLayout w:type="fixed"/>
        <w:tblCellMar>
          <w:left w:w="0" w:type="dxa"/>
          <w:right w:w="0" w:type="dxa"/>
        </w:tblCellMar>
        <w:tblLook w:val="01E0" w:firstRow="1" w:lastRow="1" w:firstColumn="1" w:lastColumn="1" w:noHBand="0" w:noVBand="0"/>
      </w:tblPr>
      <w:tblGrid>
        <w:gridCol w:w="851"/>
        <w:gridCol w:w="8363"/>
        <w:gridCol w:w="709"/>
      </w:tblGrid>
      <w:tr w:rsidR="00F10200" w:rsidRPr="00600E61" w14:paraId="213E21DF" w14:textId="77777777" w:rsidTr="00030000">
        <w:trPr>
          <w:trHeight w:val="1214"/>
        </w:trPr>
        <w:tc>
          <w:tcPr>
            <w:tcW w:w="851" w:type="dxa"/>
          </w:tcPr>
          <w:p w14:paraId="00805E12" w14:textId="25CE800C" w:rsidR="00F10200" w:rsidRPr="00600E61" w:rsidRDefault="00FF33DF" w:rsidP="005930DA">
            <w:pPr>
              <w:pStyle w:val="TableParagraph"/>
              <w:spacing w:before="0"/>
              <w:jc w:val="center"/>
              <w:rPr>
                <w:rFonts w:ascii="Arial" w:hAnsi="Arial" w:cs="Arial"/>
              </w:rPr>
            </w:pPr>
            <w:r>
              <w:rPr>
                <w:rFonts w:ascii="Arial" w:hAnsi="Arial" w:cs="Arial"/>
              </w:rPr>
              <w:lastRenderedPageBreak/>
              <w:t>1</w:t>
            </w:r>
            <w:r w:rsidR="00D90F40" w:rsidRPr="00600E61">
              <w:rPr>
                <w:rFonts w:ascii="Arial" w:hAnsi="Arial" w:cs="Arial"/>
              </w:rPr>
              <w:t>.4.1</w:t>
            </w:r>
          </w:p>
        </w:tc>
        <w:tc>
          <w:tcPr>
            <w:tcW w:w="8363" w:type="dxa"/>
          </w:tcPr>
          <w:p w14:paraId="57A58E7C" w14:textId="77777777" w:rsidR="00F10200" w:rsidRPr="00600E61" w:rsidRDefault="00D90F40" w:rsidP="005930DA">
            <w:pPr>
              <w:pStyle w:val="TableParagraph"/>
              <w:spacing w:before="0"/>
              <w:ind w:left="135" w:right="141"/>
              <w:jc w:val="both"/>
              <w:rPr>
                <w:rFonts w:ascii="Arial" w:hAnsi="Arial" w:cs="Arial"/>
              </w:rPr>
            </w:pPr>
            <w:r w:rsidRPr="00600E61">
              <w:rPr>
                <w:rFonts w:ascii="Arial" w:hAnsi="Arial" w:cs="Arial"/>
              </w:rPr>
              <w:t>consider the scope and nature of the work undertaken by the Risk Management and the control functions (noting any significant issues in the period under review and work planned for the next period) in analysing, monitoring and reporting of risks forming part of the IG Risk taxonomy;</w:t>
            </w:r>
          </w:p>
        </w:tc>
        <w:tc>
          <w:tcPr>
            <w:tcW w:w="709" w:type="dxa"/>
          </w:tcPr>
          <w:p w14:paraId="055822DD" w14:textId="7E131C4E" w:rsidR="00F10200" w:rsidRPr="00600E61" w:rsidRDefault="00F10200" w:rsidP="005930DA">
            <w:pPr>
              <w:pStyle w:val="TableParagraph"/>
              <w:spacing w:before="0"/>
              <w:jc w:val="center"/>
              <w:rPr>
                <w:rFonts w:ascii="Arial" w:hAnsi="Arial" w:cs="Arial"/>
                <w:b/>
              </w:rPr>
            </w:pPr>
          </w:p>
        </w:tc>
      </w:tr>
      <w:tr w:rsidR="00F10200" w:rsidRPr="00600E61" w14:paraId="7EA27130" w14:textId="77777777" w:rsidTr="00030000">
        <w:trPr>
          <w:trHeight w:val="809"/>
        </w:trPr>
        <w:tc>
          <w:tcPr>
            <w:tcW w:w="851" w:type="dxa"/>
          </w:tcPr>
          <w:p w14:paraId="67A63A95" w14:textId="3E31D545" w:rsidR="00F10200" w:rsidRPr="00600E61" w:rsidRDefault="00FF33DF" w:rsidP="005930DA">
            <w:pPr>
              <w:pStyle w:val="TableParagraph"/>
              <w:spacing w:before="0"/>
              <w:jc w:val="center"/>
              <w:rPr>
                <w:rFonts w:ascii="Arial" w:hAnsi="Arial" w:cs="Arial"/>
              </w:rPr>
            </w:pPr>
            <w:r>
              <w:rPr>
                <w:rFonts w:ascii="Arial" w:hAnsi="Arial" w:cs="Arial"/>
              </w:rPr>
              <w:t>1</w:t>
            </w:r>
            <w:r w:rsidR="00D90F40" w:rsidRPr="00600E61">
              <w:rPr>
                <w:rFonts w:ascii="Arial" w:hAnsi="Arial" w:cs="Arial"/>
              </w:rPr>
              <w:t>.4.2</w:t>
            </w:r>
          </w:p>
        </w:tc>
        <w:tc>
          <w:tcPr>
            <w:tcW w:w="8363" w:type="dxa"/>
          </w:tcPr>
          <w:p w14:paraId="6F224669" w14:textId="6F9236D4" w:rsidR="00F10200" w:rsidRPr="00600E61" w:rsidRDefault="00D90F40" w:rsidP="005930DA">
            <w:pPr>
              <w:pStyle w:val="TableParagraph"/>
              <w:spacing w:before="0"/>
              <w:ind w:left="135" w:right="141"/>
              <w:jc w:val="both"/>
              <w:rPr>
                <w:rFonts w:ascii="Arial" w:hAnsi="Arial" w:cs="Arial"/>
              </w:rPr>
            </w:pPr>
            <w:r w:rsidRPr="00600E61">
              <w:rPr>
                <w:rFonts w:ascii="Arial" w:hAnsi="Arial" w:cs="Arial"/>
              </w:rPr>
              <w:t xml:space="preserve">receive regular reports from the Group Chief Compliance Officer on the operation of the </w:t>
            </w:r>
            <w:r w:rsidR="00652017">
              <w:rPr>
                <w:rFonts w:ascii="Arial" w:hAnsi="Arial" w:cs="Arial"/>
              </w:rPr>
              <w:t>G</w:t>
            </w:r>
            <w:r w:rsidRPr="00600E61">
              <w:rPr>
                <w:rFonts w:ascii="Arial" w:hAnsi="Arial" w:cs="Arial"/>
              </w:rPr>
              <w:t>roup Compliance Framework and Plan;</w:t>
            </w:r>
          </w:p>
        </w:tc>
        <w:tc>
          <w:tcPr>
            <w:tcW w:w="709" w:type="dxa"/>
          </w:tcPr>
          <w:p w14:paraId="10F413A6" w14:textId="18CF9880" w:rsidR="00F10200" w:rsidRPr="00600E61" w:rsidRDefault="00F10200" w:rsidP="005930DA">
            <w:pPr>
              <w:pStyle w:val="TableParagraph"/>
              <w:spacing w:before="0"/>
              <w:jc w:val="center"/>
              <w:rPr>
                <w:rFonts w:ascii="Arial" w:hAnsi="Arial" w:cs="Arial"/>
                <w:b/>
              </w:rPr>
            </w:pPr>
          </w:p>
        </w:tc>
      </w:tr>
      <w:tr w:rsidR="00F10200" w:rsidRPr="00600E61" w14:paraId="6B822887" w14:textId="77777777" w:rsidTr="00030000">
        <w:trPr>
          <w:trHeight w:val="674"/>
        </w:trPr>
        <w:tc>
          <w:tcPr>
            <w:tcW w:w="851" w:type="dxa"/>
          </w:tcPr>
          <w:p w14:paraId="38DD2CE2" w14:textId="6F1A3792" w:rsidR="00F10200" w:rsidRPr="00600E61" w:rsidRDefault="00FF33DF" w:rsidP="005930DA">
            <w:pPr>
              <w:pStyle w:val="TableParagraph"/>
              <w:spacing w:before="0"/>
              <w:jc w:val="center"/>
              <w:rPr>
                <w:rFonts w:ascii="Arial" w:hAnsi="Arial" w:cs="Arial"/>
              </w:rPr>
            </w:pPr>
            <w:r>
              <w:rPr>
                <w:rFonts w:ascii="Arial" w:hAnsi="Arial" w:cs="Arial"/>
              </w:rPr>
              <w:t>1</w:t>
            </w:r>
            <w:r w:rsidR="00D90F40" w:rsidRPr="00600E61">
              <w:rPr>
                <w:rFonts w:ascii="Arial" w:hAnsi="Arial" w:cs="Arial"/>
              </w:rPr>
              <w:t>.4.3</w:t>
            </w:r>
          </w:p>
        </w:tc>
        <w:tc>
          <w:tcPr>
            <w:tcW w:w="8363" w:type="dxa"/>
          </w:tcPr>
          <w:p w14:paraId="180FAA0E" w14:textId="78083366" w:rsidR="00030000" w:rsidRPr="00600E61" w:rsidRDefault="00D90F40" w:rsidP="00030000">
            <w:pPr>
              <w:pStyle w:val="TableParagraph"/>
              <w:spacing w:before="0"/>
              <w:ind w:left="135" w:right="141"/>
              <w:jc w:val="both"/>
              <w:rPr>
                <w:rFonts w:ascii="Arial" w:hAnsi="Arial" w:cs="Arial"/>
              </w:rPr>
            </w:pPr>
            <w:r w:rsidRPr="00600E61">
              <w:rPr>
                <w:rFonts w:ascii="Arial" w:hAnsi="Arial" w:cs="Arial"/>
              </w:rPr>
              <w:t>receive periodic reports from the Group Chief Compliance Officer on the development of</w:t>
            </w:r>
            <w:r w:rsidR="00652017">
              <w:rPr>
                <w:rFonts w:ascii="Arial" w:hAnsi="Arial" w:cs="Arial"/>
              </w:rPr>
              <w:t>,</w:t>
            </w:r>
            <w:r w:rsidRPr="00600E61">
              <w:rPr>
                <w:rFonts w:ascii="Arial" w:hAnsi="Arial" w:cs="Arial"/>
              </w:rPr>
              <w:t xml:space="preserve"> and risk relating to</w:t>
            </w:r>
            <w:r w:rsidR="00652017">
              <w:rPr>
                <w:rFonts w:ascii="Arial" w:hAnsi="Arial" w:cs="Arial"/>
              </w:rPr>
              <w:t>,</w:t>
            </w:r>
            <w:r w:rsidRPr="00600E61">
              <w:rPr>
                <w:rFonts w:ascii="Arial" w:hAnsi="Arial" w:cs="Arial"/>
              </w:rPr>
              <w:t xml:space="preserve"> IG’s Product Governance obligations;</w:t>
            </w:r>
          </w:p>
        </w:tc>
        <w:tc>
          <w:tcPr>
            <w:tcW w:w="709" w:type="dxa"/>
          </w:tcPr>
          <w:p w14:paraId="2BFB874C" w14:textId="5BD2CA68" w:rsidR="00F10200" w:rsidRPr="00600E61" w:rsidRDefault="00F10200" w:rsidP="005930DA">
            <w:pPr>
              <w:pStyle w:val="TableParagraph"/>
              <w:spacing w:before="0"/>
              <w:jc w:val="center"/>
              <w:rPr>
                <w:rFonts w:ascii="Arial" w:hAnsi="Arial" w:cs="Arial"/>
                <w:b/>
              </w:rPr>
            </w:pPr>
          </w:p>
        </w:tc>
      </w:tr>
      <w:tr w:rsidR="00030000" w:rsidRPr="00600E61" w14:paraId="222BB218" w14:textId="77777777" w:rsidTr="00030000">
        <w:trPr>
          <w:trHeight w:val="674"/>
        </w:trPr>
        <w:tc>
          <w:tcPr>
            <w:tcW w:w="851" w:type="dxa"/>
          </w:tcPr>
          <w:p w14:paraId="787891A5" w14:textId="64088901" w:rsidR="00030000" w:rsidRPr="00600E61" w:rsidRDefault="00FF33DF" w:rsidP="005930DA">
            <w:pPr>
              <w:pStyle w:val="TableParagraph"/>
              <w:spacing w:before="0"/>
              <w:jc w:val="center"/>
              <w:rPr>
                <w:rFonts w:ascii="Arial" w:hAnsi="Arial" w:cs="Arial"/>
              </w:rPr>
            </w:pPr>
            <w:r>
              <w:rPr>
                <w:rFonts w:ascii="Arial" w:hAnsi="Arial" w:cs="Arial"/>
              </w:rPr>
              <w:t>1</w:t>
            </w:r>
            <w:r w:rsidR="00030000">
              <w:rPr>
                <w:rFonts w:ascii="Arial" w:hAnsi="Arial" w:cs="Arial"/>
              </w:rPr>
              <w:t>.4.4</w:t>
            </w:r>
          </w:p>
        </w:tc>
        <w:tc>
          <w:tcPr>
            <w:tcW w:w="8363" w:type="dxa"/>
          </w:tcPr>
          <w:p w14:paraId="60DF948A" w14:textId="77777777" w:rsidR="00030000" w:rsidRDefault="00030000" w:rsidP="00030000">
            <w:pPr>
              <w:pStyle w:val="TableParagraph"/>
              <w:spacing w:before="0"/>
              <w:ind w:left="135" w:right="141"/>
              <w:jc w:val="both"/>
              <w:rPr>
                <w:rFonts w:ascii="Arial" w:hAnsi="Arial" w:cs="Arial"/>
              </w:rPr>
            </w:pPr>
            <w:r w:rsidRPr="00030000">
              <w:rPr>
                <w:rFonts w:ascii="Arial" w:hAnsi="Arial" w:cs="Arial"/>
              </w:rPr>
              <w:t>oversee, where appropriate, management's compliance with new (twelfth) FCA Principle introduced by the FCA's Consumer Duty regulation which requires firms “to act to deliver good outcomes for retail clients” in respect of UK regulated entities. Consumer Duty creates a higher and more exacting standard of conduct</w:t>
            </w:r>
            <w:r>
              <w:rPr>
                <w:rFonts w:ascii="Arial" w:hAnsi="Arial" w:cs="Arial"/>
              </w:rPr>
              <w:t>;</w:t>
            </w:r>
          </w:p>
          <w:p w14:paraId="44786AF7" w14:textId="1D159AC7" w:rsidR="00030000" w:rsidRPr="00600E61" w:rsidRDefault="00030000" w:rsidP="00030000">
            <w:pPr>
              <w:pStyle w:val="TableParagraph"/>
              <w:spacing w:before="0"/>
              <w:ind w:left="135" w:right="141"/>
              <w:jc w:val="both"/>
              <w:rPr>
                <w:rFonts w:ascii="Arial" w:hAnsi="Arial" w:cs="Arial"/>
              </w:rPr>
            </w:pPr>
          </w:p>
        </w:tc>
        <w:tc>
          <w:tcPr>
            <w:tcW w:w="709" w:type="dxa"/>
          </w:tcPr>
          <w:p w14:paraId="5AAC61AB" w14:textId="5023657D" w:rsidR="00030000" w:rsidRPr="00600E61" w:rsidRDefault="00030000" w:rsidP="005930DA">
            <w:pPr>
              <w:pStyle w:val="TableParagraph"/>
              <w:spacing w:before="0"/>
              <w:jc w:val="center"/>
              <w:rPr>
                <w:rFonts w:ascii="Arial" w:hAnsi="Arial" w:cs="Arial"/>
                <w:b/>
              </w:rPr>
            </w:pPr>
          </w:p>
        </w:tc>
      </w:tr>
      <w:tr w:rsidR="00C565C7" w:rsidRPr="00600E61" w14:paraId="456717D5" w14:textId="77777777" w:rsidTr="00030000">
        <w:trPr>
          <w:trHeight w:val="674"/>
        </w:trPr>
        <w:tc>
          <w:tcPr>
            <w:tcW w:w="851" w:type="dxa"/>
          </w:tcPr>
          <w:p w14:paraId="4462ECC9" w14:textId="1DCBAD73" w:rsidR="00C565C7" w:rsidRPr="00600E61" w:rsidRDefault="00FF33DF" w:rsidP="005930DA">
            <w:pPr>
              <w:pStyle w:val="TableParagraph"/>
              <w:spacing w:before="0"/>
              <w:jc w:val="center"/>
              <w:rPr>
                <w:rFonts w:ascii="Arial" w:hAnsi="Arial" w:cs="Arial"/>
              </w:rPr>
            </w:pPr>
            <w:bookmarkStart w:id="1" w:name="_Hlk116978821"/>
            <w:r>
              <w:rPr>
                <w:rFonts w:ascii="Arial" w:hAnsi="Arial" w:cs="Arial"/>
              </w:rPr>
              <w:t>1</w:t>
            </w:r>
            <w:r w:rsidR="00C565C7">
              <w:rPr>
                <w:rFonts w:ascii="Arial" w:hAnsi="Arial" w:cs="Arial"/>
              </w:rPr>
              <w:t>.4.</w:t>
            </w:r>
            <w:r w:rsidR="00030000">
              <w:rPr>
                <w:rFonts w:ascii="Arial" w:hAnsi="Arial" w:cs="Arial"/>
              </w:rPr>
              <w:t>5</w:t>
            </w:r>
          </w:p>
        </w:tc>
        <w:tc>
          <w:tcPr>
            <w:tcW w:w="8363" w:type="dxa"/>
          </w:tcPr>
          <w:p w14:paraId="2222BE4D" w14:textId="3E9B25B2" w:rsidR="00C565C7" w:rsidRPr="00600E61" w:rsidRDefault="003B4DF6" w:rsidP="00B23DED">
            <w:pPr>
              <w:pStyle w:val="TableParagraph"/>
              <w:spacing w:before="0"/>
              <w:ind w:left="135" w:right="141"/>
              <w:jc w:val="both"/>
              <w:rPr>
                <w:rFonts w:ascii="Arial" w:hAnsi="Arial" w:cs="Arial"/>
              </w:rPr>
            </w:pPr>
            <w:r>
              <w:rPr>
                <w:rFonts w:ascii="Arial" w:hAnsi="Arial" w:cs="Arial"/>
              </w:rPr>
              <w:t>r</w:t>
            </w:r>
            <w:r w:rsidR="00C565C7">
              <w:rPr>
                <w:rFonts w:ascii="Arial" w:hAnsi="Arial" w:cs="Arial"/>
              </w:rPr>
              <w:t>eceive regular reports on Consumer Duty</w:t>
            </w:r>
            <w:r w:rsidR="00DE34CE">
              <w:rPr>
                <w:rFonts w:ascii="Arial" w:hAnsi="Arial" w:cs="Arial"/>
              </w:rPr>
              <w:t xml:space="preserve"> for UK regulated entities</w:t>
            </w:r>
            <w:r w:rsidR="00D14E67">
              <w:rPr>
                <w:rFonts w:ascii="Arial" w:hAnsi="Arial" w:cs="Arial"/>
              </w:rPr>
              <w:t xml:space="preserve">, </w:t>
            </w:r>
            <w:r w:rsidR="00C565C7">
              <w:rPr>
                <w:rFonts w:ascii="Arial" w:hAnsi="Arial" w:cs="Arial"/>
              </w:rPr>
              <w:t>and</w:t>
            </w:r>
            <w:r w:rsidR="00D14E67">
              <w:rPr>
                <w:rFonts w:ascii="Arial" w:hAnsi="Arial" w:cs="Arial"/>
              </w:rPr>
              <w:t>,</w:t>
            </w:r>
            <w:r w:rsidR="00C565C7">
              <w:rPr>
                <w:rFonts w:ascii="Arial" w:hAnsi="Arial" w:cs="Arial"/>
              </w:rPr>
              <w:t xml:space="preserve"> </w:t>
            </w:r>
            <w:r w:rsidR="00B23DED" w:rsidRPr="00B23DED">
              <w:rPr>
                <w:rFonts w:ascii="Arial" w:hAnsi="Arial" w:cs="Arial"/>
              </w:rPr>
              <w:t xml:space="preserve">review and </w:t>
            </w:r>
            <w:r w:rsidR="00B23DED">
              <w:rPr>
                <w:rFonts w:ascii="Arial" w:hAnsi="Arial" w:cs="Arial"/>
              </w:rPr>
              <w:t>consider for approval, at least annually,</w:t>
            </w:r>
            <w:r w:rsidR="00B23DED" w:rsidRPr="00B23DED">
              <w:rPr>
                <w:rFonts w:ascii="Arial" w:hAnsi="Arial" w:cs="Arial"/>
              </w:rPr>
              <w:t xml:space="preserve"> an assessment of whether the firm is delivering good outcomes for its customers which are consistent with the </w:t>
            </w:r>
            <w:r w:rsidR="00B23DED">
              <w:rPr>
                <w:rFonts w:ascii="Arial" w:hAnsi="Arial" w:cs="Arial"/>
              </w:rPr>
              <w:t xml:space="preserve">Consumer </w:t>
            </w:r>
            <w:r w:rsidR="00B23DED" w:rsidRPr="00B23DED">
              <w:rPr>
                <w:rFonts w:ascii="Arial" w:hAnsi="Arial" w:cs="Arial"/>
              </w:rPr>
              <w:t>Duty</w:t>
            </w:r>
            <w:r w:rsidR="00030000">
              <w:rPr>
                <w:rFonts w:ascii="Arial" w:hAnsi="Arial" w:cs="Arial"/>
              </w:rPr>
              <w:t xml:space="preserve"> regulations and</w:t>
            </w:r>
            <w:r w:rsidR="00D14E67">
              <w:rPr>
                <w:rFonts w:ascii="Arial" w:hAnsi="Arial" w:cs="Arial"/>
              </w:rPr>
              <w:t xml:space="preserve"> in line with the FCA principle that “A firm must act to deliver good outcomes for retai</w:t>
            </w:r>
            <w:r w:rsidR="0008116F">
              <w:rPr>
                <w:rFonts w:ascii="Arial" w:hAnsi="Arial" w:cs="Arial"/>
              </w:rPr>
              <w:t>l</w:t>
            </w:r>
            <w:r w:rsidR="00D14E67">
              <w:rPr>
                <w:rFonts w:ascii="Arial" w:hAnsi="Arial" w:cs="Arial"/>
              </w:rPr>
              <w:t xml:space="preserve"> clients” as supported by its three “cross-cutting” rules</w:t>
            </w:r>
            <w:r w:rsidR="00B23DED">
              <w:rPr>
                <w:rFonts w:ascii="Arial" w:hAnsi="Arial" w:cs="Arial"/>
              </w:rPr>
              <w:t>;</w:t>
            </w:r>
          </w:p>
        </w:tc>
        <w:tc>
          <w:tcPr>
            <w:tcW w:w="709" w:type="dxa"/>
          </w:tcPr>
          <w:p w14:paraId="29EB5D4D" w14:textId="6102060A" w:rsidR="00C565C7" w:rsidRPr="00600E61" w:rsidRDefault="00C565C7" w:rsidP="005930DA">
            <w:pPr>
              <w:pStyle w:val="TableParagraph"/>
              <w:spacing w:before="0"/>
              <w:jc w:val="center"/>
              <w:rPr>
                <w:rFonts w:ascii="Arial" w:hAnsi="Arial" w:cs="Arial"/>
                <w:b/>
              </w:rPr>
            </w:pPr>
          </w:p>
        </w:tc>
      </w:tr>
      <w:bookmarkEnd w:id="1"/>
      <w:tr w:rsidR="00F10200" w:rsidRPr="00600E61" w14:paraId="2306B1F8" w14:textId="77777777" w:rsidTr="00030000">
        <w:trPr>
          <w:trHeight w:val="70"/>
        </w:trPr>
        <w:tc>
          <w:tcPr>
            <w:tcW w:w="851" w:type="dxa"/>
          </w:tcPr>
          <w:p w14:paraId="20260A52" w14:textId="77777777" w:rsidR="00C565C7" w:rsidRDefault="00C565C7" w:rsidP="00030000">
            <w:pPr>
              <w:pStyle w:val="TableParagraph"/>
              <w:spacing w:before="0"/>
              <w:rPr>
                <w:rFonts w:ascii="Arial" w:hAnsi="Arial" w:cs="Arial"/>
              </w:rPr>
            </w:pPr>
          </w:p>
          <w:p w14:paraId="652B2E7C" w14:textId="6C077B99" w:rsidR="00F10200" w:rsidRDefault="00FF33DF" w:rsidP="005930DA">
            <w:pPr>
              <w:pStyle w:val="TableParagraph"/>
              <w:spacing w:before="0"/>
              <w:jc w:val="center"/>
              <w:rPr>
                <w:rFonts w:ascii="Arial" w:hAnsi="Arial" w:cs="Arial"/>
              </w:rPr>
            </w:pPr>
            <w:r>
              <w:rPr>
                <w:rFonts w:ascii="Arial" w:hAnsi="Arial" w:cs="Arial"/>
              </w:rPr>
              <w:t>1</w:t>
            </w:r>
            <w:r w:rsidR="00D90F40" w:rsidRPr="00600E61">
              <w:rPr>
                <w:rFonts w:ascii="Arial" w:hAnsi="Arial" w:cs="Arial"/>
              </w:rPr>
              <w:t>.4.</w:t>
            </w:r>
            <w:r w:rsidR="00030000">
              <w:rPr>
                <w:rFonts w:ascii="Arial" w:hAnsi="Arial" w:cs="Arial"/>
              </w:rPr>
              <w:t>6</w:t>
            </w:r>
          </w:p>
          <w:p w14:paraId="45967E6D" w14:textId="77777777" w:rsidR="00C565C7" w:rsidRDefault="00C565C7" w:rsidP="005930DA">
            <w:pPr>
              <w:pStyle w:val="TableParagraph"/>
              <w:spacing w:before="0"/>
              <w:jc w:val="center"/>
              <w:rPr>
                <w:rFonts w:ascii="Arial" w:hAnsi="Arial" w:cs="Arial"/>
              </w:rPr>
            </w:pPr>
          </w:p>
          <w:p w14:paraId="561E078B" w14:textId="3A56E701" w:rsidR="00C565C7" w:rsidRPr="00600E61" w:rsidRDefault="00C565C7" w:rsidP="00C565C7">
            <w:pPr>
              <w:pStyle w:val="TableParagraph"/>
              <w:spacing w:before="0"/>
              <w:jc w:val="center"/>
              <w:rPr>
                <w:rFonts w:ascii="Arial" w:hAnsi="Arial" w:cs="Arial"/>
              </w:rPr>
            </w:pPr>
          </w:p>
        </w:tc>
        <w:tc>
          <w:tcPr>
            <w:tcW w:w="8363" w:type="dxa"/>
          </w:tcPr>
          <w:p w14:paraId="24DB3371" w14:textId="77777777" w:rsidR="00D14E67" w:rsidRDefault="00D14E67" w:rsidP="00030000">
            <w:pPr>
              <w:pStyle w:val="TableParagraph"/>
              <w:spacing w:before="0"/>
              <w:ind w:right="141"/>
              <w:jc w:val="both"/>
              <w:rPr>
                <w:rFonts w:ascii="Arial" w:hAnsi="Arial" w:cs="Arial"/>
              </w:rPr>
            </w:pPr>
          </w:p>
          <w:p w14:paraId="77728F37" w14:textId="738DE01A" w:rsidR="00F10200" w:rsidRPr="00600E61" w:rsidRDefault="00D90F40" w:rsidP="005930DA">
            <w:pPr>
              <w:pStyle w:val="TableParagraph"/>
              <w:spacing w:before="0"/>
              <w:ind w:left="135" w:right="141"/>
              <w:jc w:val="both"/>
              <w:rPr>
                <w:rFonts w:ascii="Arial" w:hAnsi="Arial" w:cs="Arial"/>
              </w:rPr>
            </w:pPr>
            <w:r w:rsidRPr="00600E61">
              <w:rPr>
                <w:rFonts w:ascii="Arial" w:hAnsi="Arial" w:cs="Arial"/>
              </w:rPr>
              <w:t>consider the adequacy and effectiveness of resources within Risk Management and Compliance functions;</w:t>
            </w:r>
            <w:r w:rsidR="009F015B" w:rsidRPr="00600E61">
              <w:rPr>
                <w:rFonts w:ascii="Arial" w:hAnsi="Arial" w:cs="Arial"/>
              </w:rPr>
              <w:t xml:space="preserve"> and</w:t>
            </w:r>
          </w:p>
        </w:tc>
        <w:tc>
          <w:tcPr>
            <w:tcW w:w="709" w:type="dxa"/>
          </w:tcPr>
          <w:p w14:paraId="3D71868E" w14:textId="77777777" w:rsidR="00D14E67" w:rsidRDefault="00D14E67" w:rsidP="00030000">
            <w:pPr>
              <w:pStyle w:val="TableParagraph"/>
              <w:spacing w:before="0"/>
              <w:rPr>
                <w:rFonts w:ascii="Arial" w:hAnsi="Arial" w:cs="Arial"/>
                <w:b/>
              </w:rPr>
            </w:pPr>
          </w:p>
          <w:p w14:paraId="00ED19E2" w14:textId="761D8747" w:rsidR="00F10200" w:rsidRPr="00600E61" w:rsidRDefault="00F10200" w:rsidP="005930DA">
            <w:pPr>
              <w:pStyle w:val="TableParagraph"/>
              <w:spacing w:before="0"/>
              <w:jc w:val="center"/>
              <w:rPr>
                <w:rFonts w:ascii="Arial" w:hAnsi="Arial" w:cs="Arial"/>
                <w:b/>
              </w:rPr>
            </w:pPr>
          </w:p>
        </w:tc>
      </w:tr>
      <w:tr w:rsidR="00F10200" w:rsidRPr="00600E61" w14:paraId="7101A7C3" w14:textId="77777777" w:rsidTr="00030000">
        <w:trPr>
          <w:trHeight w:val="70"/>
        </w:trPr>
        <w:tc>
          <w:tcPr>
            <w:tcW w:w="851" w:type="dxa"/>
          </w:tcPr>
          <w:p w14:paraId="52E639C8" w14:textId="35DB5525" w:rsidR="00F10200" w:rsidRPr="00600E61" w:rsidRDefault="00FF33DF" w:rsidP="005930DA">
            <w:pPr>
              <w:pStyle w:val="TableParagraph"/>
              <w:spacing w:before="0"/>
              <w:jc w:val="center"/>
              <w:rPr>
                <w:rFonts w:ascii="Arial" w:hAnsi="Arial" w:cs="Arial"/>
              </w:rPr>
            </w:pPr>
            <w:r>
              <w:rPr>
                <w:rFonts w:ascii="Arial" w:hAnsi="Arial" w:cs="Arial"/>
              </w:rPr>
              <w:t>1</w:t>
            </w:r>
            <w:r w:rsidR="00D90F40" w:rsidRPr="00600E61">
              <w:rPr>
                <w:rFonts w:ascii="Arial" w:hAnsi="Arial" w:cs="Arial"/>
              </w:rPr>
              <w:t>.4.</w:t>
            </w:r>
            <w:r w:rsidR="00030000">
              <w:rPr>
                <w:rFonts w:ascii="Arial" w:hAnsi="Arial" w:cs="Arial"/>
              </w:rPr>
              <w:t>7</w:t>
            </w:r>
          </w:p>
        </w:tc>
        <w:tc>
          <w:tcPr>
            <w:tcW w:w="8363" w:type="dxa"/>
          </w:tcPr>
          <w:p w14:paraId="531025F6" w14:textId="3A5E4934" w:rsidR="00F10200" w:rsidRDefault="00D90F40" w:rsidP="005930DA">
            <w:pPr>
              <w:pStyle w:val="TableParagraph"/>
              <w:spacing w:before="0"/>
              <w:ind w:left="135" w:right="141"/>
              <w:jc w:val="both"/>
              <w:rPr>
                <w:rFonts w:ascii="Arial" w:hAnsi="Arial" w:cs="Arial"/>
              </w:rPr>
            </w:pPr>
            <w:r w:rsidRPr="00600E61">
              <w:rPr>
                <w:rFonts w:ascii="Arial" w:hAnsi="Arial" w:cs="Arial"/>
              </w:rPr>
              <w:t xml:space="preserve">discuss and </w:t>
            </w:r>
            <w:r w:rsidR="00C0526D">
              <w:rPr>
                <w:rFonts w:ascii="Arial" w:hAnsi="Arial" w:cs="Arial"/>
              </w:rPr>
              <w:t>recommend to the Board</w:t>
            </w:r>
            <w:r w:rsidR="00C0526D" w:rsidRPr="00600E61">
              <w:rPr>
                <w:rFonts w:ascii="Arial" w:hAnsi="Arial" w:cs="Arial"/>
              </w:rPr>
              <w:t xml:space="preserve"> </w:t>
            </w:r>
            <w:r w:rsidRPr="00600E61">
              <w:rPr>
                <w:rFonts w:ascii="Arial" w:hAnsi="Arial" w:cs="Arial"/>
              </w:rPr>
              <w:t>the statements to be included in the Annual Report concerning controls and risk management.</w:t>
            </w:r>
          </w:p>
          <w:p w14:paraId="654385F5" w14:textId="6EE7CEB3" w:rsidR="00816B2A" w:rsidRPr="00600E61" w:rsidRDefault="00816B2A" w:rsidP="00816B2A">
            <w:pPr>
              <w:pStyle w:val="TableParagraph"/>
              <w:spacing w:before="0"/>
              <w:ind w:right="141"/>
              <w:jc w:val="both"/>
              <w:rPr>
                <w:rFonts w:ascii="Arial" w:hAnsi="Arial" w:cs="Arial"/>
              </w:rPr>
            </w:pPr>
          </w:p>
        </w:tc>
        <w:tc>
          <w:tcPr>
            <w:tcW w:w="709" w:type="dxa"/>
          </w:tcPr>
          <w:p w14:paraId="6A76F77F" w14:textId="4E2B24C9" w:rsidR="00F10200" w:rsidRPr="00600E61" w:rsidRDefault="00F10200" w:rsidP="005930DA">
            <w:pPr>
              <w:pStyle w:val="TableParagraph"/>
              <w:spacing w:before="0"/>
              <w:jc w:val="center"/>
              <w:rPr>
                <w:rFonts w:ascii="Arial" w:hAnsi="Arial" w:cs="Arial"/>
                <w:b/>
              </w:rPr>
            </w:pPr>
          </w:p>
        </w:tc>
      </w:tr>
    </w:tbl>
    <w:p w14:paraId="491EEF91" w14:textId="77777777" w:rsidR="00F10200" w:rsidRPr="00600E61" w:rsidRDefault="00D90F40" w:rsidP="005930DA">
      <w:pPr>
        <w:pStyle w:val="Heading1"/>
        <w:numPr>
          <w:ilvl w:val="1"/>
          <w:numId w:val="3"/>
        </w:numPr>
        <w:tabs>
          <w:tab w:val="left" w:pos="567"/>
        </w:tabs>
        <w:spacing w:before="101"/>
        <w:ind w:hanging="993"/>
        <w:rPr>
          <w:rFonts w:ascii="Arial" w:hAnsi="Arial" w:cs="Arial"/>
        </w:rPr>
      </w:pPr>
      <w:r w:rsidRPr="00600E61">
        <w:rPr>
          <w:rFonts w:ascii="Arial" w:hAnsi="Arial" w:cs="Arial"/>
        </w:rPr>
        <w:t>IT Architecture</w:t>
      </w:r>
    </w:p>
    <w:p w14:paraId="2C1405B8" w14:textId="14F1F3EA" w:rsidR="00F10200" w:rsidRPr="006F37D0" w:rsidRDefault="00D90F40" w:rsidP="005930DA">
      <w:pPr>
        <w:pStyle w:val="BodyText"/>
        <w:spacing w:before="150"/>
        <w:ind w:left="820" w:hanging="253"/>
        <w:rPr>
          <w:rFonts w:ascii="Arial" w:hAnsi="Arial" w:cs="Arial"/>
          <w:b/>
        </w:rPr>
      </w:pPr>
      <w:r w:rsidRPr="00600E61">
        <w:rPr>
          <w:rFonts w:ascii="Arial" w:hAnsi="Arial" w:cs="Arial"/>
        </w:rPr>
        <w:t>The Committee shall</w:t>
      </w:r>
      <w:r w:rsidRPr="00600E61">
        <w:rPr>
          <w:rFonts w:ascii="Arial" w:hAnsi="Arial" w:cs="Arial"/>
          <w:b/>
        </w:rPr>
        <w:t>:</w:t>
      </w:r>
    </w:p>
    <w:p w14:paraId="172C2363" w14:textId="77777777" w:rsidR="00F10200" w:rsidRPr="00600E61" w:rsidRDefault="00F10200">
      <w:pPr>
        <w:pStyle w:val="BodyText"/>
        <w:spacing w:before="2"/>
        <w:rPr>
          <w:rFonts w:ascii="Arial" w:hAnsi="Arial" w:cs="Arial"/>
          <w:b/>
          <w:sz w:val="14"/>
        </w:rPr>
      </w:pPr>
    </w:p>
    <w:tbl>
      <w:tblPr>
        <w:tblW w:w="9923" w:type="dxa"/>
        <w:tblInd w:w="567" w:type="dxa"/>
        <w:tblLayout w:type="fixed"/>
        <w:tblCellMar>
          <w:left w:w="0" w:type="dxa"/>
          <w:right w:w="0" w:type="dxa"/>
        </w:tblCellMar>
        <w:tblLook w:val="01E0" w:firstRow="1" w:lastRow="1" w:firstColumn="1" w:lastColumn="1" w:noHBand="0" w:noVBand="0"/>
      </w:tblPr>
      <w:tblGrid>
        <w:gridCol w:w="851"/>
        <w:gridCol w:w="8363"/>
        <w:gridCol w:w="709"/>
      </w:tblGrid>
      <w:tr w:rsidR="00F10200" w:rsidRPr="00600E61" w14:paraId="371CC921" w14:textId="77777777" w:rsidTr="005930DA">
        <w:trPr>
          <w:trHeight w:val="539"/>
        </w:trPr>
        <w:tc>
          <w:tcPr>
            <w:tcW w:w="851" w:type="dxa"/>
          </w:tcPr>
          <w:p w14:paraId="135641A4" w14:textId="682F0524" w:rsidR="00F10200" w:rsidRPr="00600E61" w:rsidRDefault="00C0526D" w:rsidP="005930DA">
            <w:pPr>
              <w:pStyle w:val="TableParagraph"/>
              <w:ind w:left="200"/>
              <w:jc w:val="center"/>
              <w:rPr>
                <w:rFonts w:ascii="Arial" w:hAnsi="Arial" w:cs="Arial"/>
              </w:rPr>
            </w:pPr>
            <w:r>
              <w:rPr>
                <w:rFonts w:ascii="Arial" w:hAnsi="Arial" w:cs="Arial"/>
              </w:rPr>
              <w:t>1</w:t>
            </w:r>
            <w:r w:rsidR="00D90F40" w:rsidRPr="00600E61">
              <w:rPr>
                <w:rFonts w:ascii="Arial" w:hAnsi="Arial" w:cs="Arial"/>
              </w:rPr>
              <w:t>.5.1</w:t>
            </w:r>
          </w:p>
        </w:tc>
        <w:tc>
          <w:tcPr>
            <w:tcW w:w="8363" w:type="dxa"/>
          </w:tcPr>
          <w:p w14:paraId="6F20FEA7" w14:textId="77777777" w:rsidR="00F10200" w:rsidRPr="00600E61" w:rsidRDefault="00D90F40" w:rsidP="005930DA">
            <w:pPr>
              <w:pStyle w:val="TableParagraph"/>
              <w:spacing w:before="7" w:line="268" w:lineRule="exact"/>
              <w:ind w:left="182" w:right="141"/>
              <w:jc w:val="both"/>
              <w:rPr>
                <w:rFonts w:ascii="Arial" w:hAnsi="Arial" w:cs="Arial"/>
              </w:rPr>
            </w:pPr>
            <w:r w:rsidRPr="00600E61">
              <w:rPr>
                <w:rFonts w:ascii="Arial" w:hAnsi="Arial" w:cs="Arial"/>
              </w:rPr>
              <w:t>consider the adequacy and effectiveness of the technology infrastructure and supporting documentation in the risk management framework.</w:t>
            </w:r>
          </w:p>
        </w:tc>
        <w:tc>
          <w:tcPr>
            <w:tcW w:w="709" w:type="dxa"/>
          </w:tcPr>
          <w:p w14:paraId="5FD630D8" w14:textId="6EE512E9" w:rsidR="00F10200" w:rsidRPr="00600E61" w:rsidRDefault="00F10200" w:rsidP="00B02363">
            <w:pPr>
              <w:pStyle w:val="TableParagraph"/>
              <w:jc w:val="center"/>
              <w:rPr>
                <w:rFonts w:ascii="Arial" w:hAnsi="Arial" w:cs="Arial"/>
                <w:b/>
              </w:rPr>
            </w:pPr>
          </w:p>
        </w:tc>
      </w:tr>
    </w:tbl>
    <w:p w14:paraId="0E013204" w14:textId="77777777" w:rsidR="00F10200" w:rsidRPr="00600E61" w:rsidRDefault="00F10200">
      <w:pPr>
        <w:pStyle w:val="BodyText"/>
        <w:spacing w:before="8"/>
        <w:rPr>
          <w:rFonts w:ascii="Arial" w:hAnsi="Arial" w:cs="Arial"/>
          <w:b/>
          <w:sz w:val="15"/>
        </w:rPr>
      </w:pPr>
    </w:p>
    <w:p w14:paraId="5EE875F4" w14:textId="77777777" w:rsidR="00F10200" w:rsidRPr="00600E61" w:rsidRDefault="00D90F40" w:rsidP="005930DA">
      <w:pPr>
        <w:pStyle w:val="Heading1"/>
        <w:numPr>
          <w:ilvl w:val="1"/>
          <w:numId w:val="3"/>
        </w:numPr>
        <w:spacing w:before="101"/>
        <w:ind w:left="567" w:hanging="567"/>
        <w:rPr>
          <w:rFonts w:ascii="Arial" w:hAnsi="Arial" w:cs="Arial"/>
        </w:rPr>
      </w:pPr>
      <w:r w:rsidRPr="00600E61">
        <w:rPr>
          <w:rFonts w:ascii="Arial" w:hAnsi="Arial" w:cs="Arial"/>
        </w:rPr>
        <w:t>Remuneration</w:t>
      </w:r>
    </w:p>
    <w:p w14:paraId="1701FBD1" w14:textId="77777777" w:rsidR="00F10200" w:rsidRPr="00600E61" w:rsidRDefault="00D90F40" w:rsidP="005930DA">
      <w:pPr>
        <w:pStyle w:val="BodyText"/>
        <w:spacing w:before="122"/>
        <w:ind w:left="709" w:hanging="142"/>
        <w:rPr>
          <w:rFonts w:ascii="Arial" w:hAnsi="Arial" w:cs="Arial"/>
          <w:b/>
        </w:rPr>
      </w:pPr>
      <w:r w:rsidRPr="00600E61">
        <w:rPr>
          <w:rFonts w:ascii="Arial" w:hAnsi="Arial" w:cs="Arial"/>
        </w:rPr>
        <w:t>The Committee shall</w:t>
      </w:r>
      <w:r w:rsidRPr="00600E61">
        <w:rPr>
          <w:rFonts w:ascii="Arial" w:hAnsi="Arial" w:cs="Arial"/>
          <w:b/>
        </w:rPr>
        <w:t>:</w:t>
      </w:r>
    </w:p>
    <w:tbl>
      <w:tblPr>
        <w:tblpPr w:leftFromText="180" w:rightFromText="180" w:vertAnchor="text" w:horzAnchor="margin" w:tblpX="567" w:tblpY="155"/>
        <w:tblW w:w="9923" w:type="dxa"/>
        <w:tblLayout w:type="fixed"/>
        <w:tblCellMar>
          <w:left w:w="0" w:type="dxa"/>
          <w:right w:w="0" w:type="dxa"/>
        </w:tblCellMar>
        <w:tblLook w:val="01E0" w:firstRow="1" w:lastRow="1" w:firstColumn="1" w:lastColumn="1" w:noHBand="0" w:noVBand="0"/>
      </w:tblPr>
      <w:tblGrid>
        <w:gridCol w:w="851"/>
        <w:gridCol w:w="8363"/>
        <w:gridCol w:w="709"/>
      </w:tblGrid>
      <w:tr w:rsidR="00B02363" w:rsidRPr="00600E61" w14:paraId="1025E544" w14:textId="77777777" w:rsidTr="005930DA">
        <w:trPr>
          <w:trHeight w:val="539"/>
        </w:trPr>
        <w:tc>
          <w:tcPr>
            <w:tcW w:w="851" w:type="dxa"/>
          </w:tcPr>
          <w:p w14:paraId="4499BD31" w14:textId="651376DE" w:rsidR="00B02363" w:rsidRPr="00600E61" w:rsidRDefault="00C0526D" w:rsidP="005930DA">
            <w:pPr>
              <w:pStyle w:val="TableParagraph"/>
              <w:ind w:left="200"/>
              <w:jc w:val="center"/>
              <w:rPr>
                <w:rFonts w:ascii="Arial" w:hAnsi="Arial" w:cs="Arial"/>
              </w:rPr>
            </w:pPr>
            <w:r>
              <w:rPr>
                <w:rFonts w:ascii="Arial" w:hAnsi="Arial" w:cs="Arial"/>
              </w:rPr>
              <w:t>1</w:t>
            </w:r>
            <w:r w:rsidR="00B02363" w:rsidRPr="00600E61">
              <w:rPr>
                <w:rFonts w:ascii="Arial" w:hAnsi="Arial" w:cs="Arial"/>
              </w:rPr>
              <w:t>.6.1</w:t>
            </w:r>
          </w:p>
        </w:tc>
        <w:tc>
          <w:tcPr>
            <w:tcW w:w="8363" w:type="dxa"/>
          </w:tcPr>
          <w:p w14:paraId="58FBD40B" w14:textId="74D9B1BE" w:rsidR="00B02363" w:rsidRPr="00600E61" w:rsidRDefault="00200A59" w:rsidP="005930DA">
            <w:pPr>
              <w:pStyle w:val="TableParagraph"/>
              <w:spacing w:before="7" w:line="268" w:lineRule="exact"/>
              <w:ind w:left="182" w:right="138"/>
              <w:jc w:val="both"/>
              <w:rPr>
                <w:rFonts w:ascii="Arial" w:hAnsi="Arial" w:cs="Arial"/>
              </w:rPr>
            </w:pPr>
            <w:r w:rsidRPr="00600E61">
              <w:rPr>
                <w:rFonts w:ascii="Arial" w:hAnsi="Arial" w:cs="Arial"/>
              </w:rPr>
              <w:t>P</w:t>
            </w:r>
            <w:r w:rsidR="00B02363" w:rsidRPr="00600E61">
              <w:rPr>
                <w:rFonts w:ascii="Arial" w:hAnsi="Arial" w:cs="Arial"/>
              </w:rPr>
              <w:t>rovi</w:t>
            </w:r>
            <w:r>
              <w:rPr>
                <w:rFonts w:ascii="Arial" w:hAnsi="Arial" w:cs="Arial"/>
              </w:rPr>
              <w:t>d</w:t>
            </w:r>
            <w:r w:rsidR="00B02363" w:rsidRPr="00600E61">
              <w:rPr>
                <w:rFonts w:ascii="Arial" w:hAnsi="Arial" w:cs="Arial"/>
              </w:rPr>
              <w:t>e advice to the Remuneration Committee on the alignment of the remuneration policy to risk appetite and annually review relevant remuneration</w:t>
            </w:r>
            <w:r w:rsidR="00B4554F">
              <w:rPr>
                <w:rFonts w:ascii="Arial" w:hAnsi="Arial" w:cs="Arial"/>
              </w:rPr>
              <w:t>-</w:t>
            </w:r>
            <w:r w:rsidR="00B02363" w:rsidRPr="00600E61">
              <w:rPr>
                <w:rFonts w:ascii="Arial" w:hAnsi="Arial" w:cs="Arial"/>
              </w:rPr>
              <w:t>related risks.</w:t>
            </w:r>
          </w:p>
        </w:tc>
        <w:tc>
          <w:tcPr>
            <w:tcW w:w="709" w:type="dxa"/>
          </w:tcPr>
          <w:p w14:paraId="5002A2A1" w14:textId="36C4172A" w:rsidR="00B02363" w:rsidRPr="00600E61" w:rsidRDefault="00B02363" w:rsidP="002036D8">
            <w:pPr>
              <w:pStyle w:val="TableParagraph"/>
              <w:jc w:val="center"/>
              <w:rPr>
                <w:rFonts w:ascii="Arial" w:hAnsi="Arial" w:cs="Arial"/>
                <w:b/>
              </w:rPr>
            </w:pPr>
          </w:p>
        </w:tc>
      </w:tr>
    </w:tbl>
    <w:p w14:paraId="4226432A" w14:textId="77777777" w:rsidR="00F10200" w:rsidRPr="00600E61" w:rsidRDefault="00F10200">
      <w:pPr>
        <w:pStyle w:val="BodyText"/>
        <w:spacing w:before="9"/>
        <w:rPr>
          <w:rFonts w:ascii="Arial" w:hAnsi="Arial" w:cs="Arial"/>
          <w:b/>
        </w:rPr>
      </w:pPr>
    </w:p>
    <w:p w14:paraId="24EC78CD" w14:textId="77777777" w:rsidR="00F10200" w:rsidRPr="00600E61" w:rsidRDefault="00F10200">
      <w:pPr>
        <w:pStyle w:val="BodyText"/>
        <w:rPr>
          <w:rFonts w:ascii="Arial" w:hAnsi="Arial" w:cs="Arial"/>
          <w:b/>
          <w:sz w:val="26"/>
        </w:rPr>
      </w:pPr>
    </w:p>
    <w:p w14:paraId="1B3A9656" w14:textId="77777777" w:rsidR="00026D2C" w:rsidRDefault="00026D2C" w:rsidP="00026D2C">
      <w:pPr>
        <w:pStyle w:val="Heading1"/>
        <w:tabs>
          <w:tab w:val="left" w:pos="993"/>
        </w:tabs>
        <w:spacing w:before="101"/>
        <w:rPr>
          <w:rFonts w:ascii="Arial" w:hAnsi="Arial" w:cs="Arial"/>
        </w:rPr>
      </w:pPr>
    </w:p>
    <w:p w14:paraId="6B11B88B" w14:textId="77777777" w:rsidR="00026D2C" w:rsidRDefault="00026D2C" w:rsidP="00026D2C">
      <w:pPr>
        <w:pStyle w:val="Heading1"/>
        <w:tabs>
          <w:tab w:val="left" w:pos="993"/>
        </w:tabs>
        <w:ind w:left="993" w:firstLine="0"/>
        <w:rPr>
          <w:rFonts w:ascii="Arial" w:hAnsi="Arial" w:cs="Arial"/>
        </w:rPr>
      </w:pPr>
    </w:p>
    <w:p w14:paraId="1EE31EA1" w14:textId="1D51ED85" w:rsidR="00F10200" w:rsidRPr="00600E61" w:rsidRDefault="00D90F40" w:rsidP="005930DA">
      <w:pPr>
        <w:pStyle w:val="Heading1"/>
        <w:numPr>
          <w:ilvl w:val="1"/>
          <w:numId w:val="3"/>
        </w:numPr>
        <w:tabs>
          <w:tab w:val="left" w:pos="567"/>
        </w:tabs>
        <w:ind w:hanging="993"/>
        <w:rPr>
          <w:rFonts w:ascii="Arial" w:hAnsi="Arial" w:cs="Arial"/>
        </w:rPr>
      </w:pPr>
      <w:r w:rsidRPr="00600E61">
        <w:rPr>
          <w:rFonts w:ascii="Arial" w:hAnsi="Arial" w:cs="Arial"/>
        </w:rPr>
        <w:t>Fraud, Bribery and Anti Money</w:t>
      </w:r>
      <w:r w:rsidRPr="00026D2C">
        <w:rPr>
          <w:rFonts w:ascii="Arial" w:hAnsi="Arial" w:cs="Arial"/>
        </w:rPr>
        <w:t xml:space="preserve"> </w:t>
      </w:r>
      <w:r w:rsidRPr="00600E61">
        <w:rPr>
          <w:rFonts w:ascii="Arial" w:hAnsi="Arial" w:cs="Arial"/>
        </w:rPr>
        <w:t>Laundering</w:t>
      </w:r>
    </w:p>
    <w:p w14:paraId="0A1ABBEA" w14:textId="77777777" w:rsidR="00F10200" w:rsidRPr="00600E61" w:rsidRDefault="00F10200">
      <w:pPr>
        <w:pStyle w:val="BodyText"/>
        <w:rPr>
          <w:rFonts w:ascii="Arial" w:hAnsi="Arial" w:cs="Arial"/>
          <w:b/>
          <w:sz w:val="23"/>
        </w:rPr>
      </w:pPr>
    </w:p>
    <w:p w14:paraId="3EA7C70A" w14:textId="77777777" w:rsidR="00F10200" w:rsidRPr="00600E61" w:rsidRDefault="00D90F40" w:rsidP="005930DA">
      <w:pPr>
        <w:pStyle w:val="BodyText"/>
        <w:ind w:left="426" w:firstLine="141"/>
        <w:rPr>
          <w:rFonts w:ascii="Arial" w:hAnsi="Arial" w:cs="Arial"/>
          <w:b/>
        </w:rPr>
      </w:pPr>
      <w:r w:rsidRPr="00600E61">
        <w:rPr>
          <w:rFonts w:ascii="Arial" w:hAnsi="Arial" w:cs="Arial"/>
        </w:rPr>
        <w:t>The Committee shall</w:t>
      </w:r>
      <w:r w:rsidRPr="00600E61">
        <w:rPr>
          <w:rFonts w:ascii="Arial" w:hAnsi="Arial" w:cs="Arial"/>
          <w:b/>
        </w:rPr>
        <w:t>:</w:t>
      </w:r>
    </w:p>
    <w:p w14:paraId="458BABF7" w14:textId="77777777" w:rsidR="00F10200" w:rsidRPr="00600E61" w:rsidRDefault="00F10200">
      <w:pPr>
        <w:pStyle w:val="BodyText"/>
        <w:spacing w:before="2"/>
        <w:rPr>
          <w:rFonts w:ascii="Arial" w:hAnsi="Arial" w:cs="Arial"/>
          <w:b/>
          <w:sz w:val="16"/>
        </w:rPr>
      </w:pPr>
    </w:p>
    <w:tbl>
      <w:tblPr>
        <w:tblW w:w="9923" w:type="dxa"/>
        <w:tblInd w:w="567" w:type="dxa"/>
        <w:tblLayout w:type="fixed"/>
        <w:tblCellMar>
          <w:left w:w="0" w:type="dxa"/>
          <w:right w:w="0" w:type="dxa"/>
        </w:tblCellMar>
        <w:tblLook w:val="01E0" w:firstRow="1" w:lastRow="1" w:firstColumn="1" w:lastColumn="1" w:noHBand="0" w:noVBand="0"/>
      </w:tblPr>
      <w:tblGrid>
        <w:gridCol w:w="851"/>
        <w:gridCol w:w="8363"/>
        <w:gridCol w:w="709"/>
      </w:tblGrid>
      <w:tr w:rsidR="00F10200" w:rsidRPr="00600E61" w14:paraId="179C37AC" w14:textId="77777777" w:rsidTr="005930DA">
        <w:trPr>
          <w:trHeight w:val="658"/>
        </w:trPr>
        <w:tc>
          <w:tcPr>
            <w:tcW w:w="851" w:type="dxa"/>
          </w:tcPr>
          <w:p w14:paraId="1A50FAB3" w14:textId="1BB96B0B" w:rsidR="00F10200" w:rsidRPr="00600E61" w:rsidRDefault="00C0526D" w:rsidP="00326679">
            <w:pPr>
              <w:pStyle w:val="TableParagraph"/>
              <w:ind w:left="200"/>
              <w:jc w:val="center"/>
              <w:rPr>
                <w:rFonts w:ascii="Arial" w:hAnsi="Arial" w:cs="Arial"/>
              </w:rPr>
            </w:pPr>
            <w:r>
              <w:rPr>
                <w:rFonts w:ascii="Arial" w:hAnsi="Arial" w:cs="Arial"/>
              </w:rPr>
              <w:t>1</w:t>
            </w:r>
            <w:r w:rsidR="00D90F40" w:rsidRPr="00600E61">
              <w:rPr>
                <w:rFonts w:ascii="Arial" w:hAnsi="Arial" w:cs="Arial"/>
              </w:rPr>
              <w:t>.7.1</w:t>
            </w:r>
          </w:p>
        </w:tc>
        <w:tc>
          <w:tcPr>
            <w:tcW w:w="8363" w:type="dxa"/>
          </w:tcPr>
          <w:p w14:paraId="2FAE61F2" w14:textId="26EC0E70" w:rsidR="00F10200" w:rsidRPr="00600E61" w:rsidRDefault="00B15F19" w:rsidP="005930DA">
            <w:pPr>
              <w:pStyle w:val="TableParagraph"/>
              <w:tabs>
                <w:tab w:val="left" w:pos="8205"/>
              </w:tabs>
              <w:ind w:left="135" w:right="141"/>
              <w:jc w:val="both"/>
              <w:rPr>
                <w:rFonts w:ascii="Arial" w:hAnsi="Arial" w:cs="Arial"/>
              </w:rPr>
            </w:pPr>
            <w:r w:rsidRPr="00600E61">
              <w:rPr>
                <w:rFonts w:ascii="Arial" w:hAnsi="Arial" w:cs="Arial"/>
              </w:rPr>
              <w:t>receive and consider reports related to the management and oversight of financial crime and the effectiveness of the financial crime framework</w:t>
            </w:r>
            <w:r w:rsidR="009F2106">
              <w:rPr>
                <w:rFonts w:ascii="Arial" w:hAnsi="Arial" w:cs="Arial"/>
              </w:rPr>
              <w:t>; and</w:t>
            </w:r>
          </w:p>
        </w:tc>
        <w:tc>
          <w:tcPr>
            <w:tcW w:w="709" w:type="dxa"/>
          </w:tcPr>
          <w:p w14:paraId="50F66562" w14:textId="06638B6D" w:rsidR="00F10200" w:rsidRPr="00600E61" w:rsidRDefault="00F10200">
            <w:pPr>
              <w:pStyle w:val="TableParagraph"/>
              <w:spacing w:before="0"/>
              <w:jc w:val="center"/>
              <w:rPr>
                <w:rFonts w:ascii="Arial" w:hAnsi="Arial" w:cs="Arial"/>
                <w:b/>
              </w:rPr>
            </w:pPr>
          </w:p>
        </w:tc>
      </w:tr>
      <w:tr w:rsidR="00F10200" w:rsidRPr="00600E61" w14:paraId="2D806033" w14:textId="77777777" w:rsidTr="005930DA">
        <w:trPr>
          <w:trHeight w:val="1215"/>
        </w:trPr>
        <w:tc>
          <w:tcPr>
            <w:tcW w:w="851" w:type="dxa"/>
          </w:tcPr>
          <w:p w14:paraId="0845C7A5" w14:textId="33E87797" w:rsidR="00F10200" w:rsidRPr="00600E61" w:rsidRDefault="00C0526D" w:rsidP="00326679">
            <w:pPr>
              <w:pStyle w:val="TableParagraph"/>
              <w:ind w:left="200"/>
              <w:jc w:val="center"/>
              <w:rPr>
                <w:rFonts w:ascii="Arial" w:hAnsi="Arial" w:cs="Arial"/>
              </w:rPr>
            </w:pPr>
            <w:r>
              <w:rPr>
                <w:rFonts w:ascii="Arial" w:hAnsi="Arial" w:cs="Arial"/>
              </w:rPr>
              <w:t>1</w:t>
            </w:r>
            <w:r w:rsidR="00D90F40" w:rsidRPr="00600E61">
              <w:rPr>
                <w:rFonts w:ascii="Arial" w:hAnsi="Arial" w:cs="Arial"/>
              </w:rPr>
              <w:t>.7.</w:t>
            </w:r>
            <w:r w:rsidR="00074D45" w:rsidRPr="00600E61">
              <w:rPr>
                <w:rFonts w:ascii="Arial" w:hAnsi="Arial" w:cs="Arial"/>
              </w:rPr>
              <w:t>2</w:t>
            </w:r>
          </w:p>
        </w:tc>
        <w:tc>
          <w:tcPr>
            <w:tcW w:w="8363" w:type="dxa"/>
          </w:tcPr>
          <w:p w14:paraId="20CEEDD5" w14:textId="77777777" w:rsidR="00F10200" w:rsidRDefault="00D90F40" w:rsidP="000E37BE">
            <w:pPr>
              <w:pStyle w:val="TableParagraph"/>
              <w:tabs>
                <w:tab w:val="left" w:pos="8205"/>
              </w:tabs>
              <w:spacing w:before="0"/>
              <w:ind w:left="135" w:right="141"/>
              <w:jc w:val="both"/>
              <w:rPr>
                <w:rFonts w:ascii="Arial" w:hAnsi="Arial" w:cs="Arial"/>
              </w:rPr>
            </w:pPr>
            <w:r w:rsidRPr="00600E61">
              <w:rPr>
                <w:rFonts w:ascii="Arial" w:hAnsi="Arial" w:cs="Arial"/>
              </w:rPr>
              <w:t xml:space="preserve">receive and consider an annual report from the </w:t>
            </w:r>
            <w:r w:rsidR="005656AF" w:rsidRPr="00600E61">
              <w:rPr>
                <w:rFonts w:ascii="Arial" w:hAnsi="Arial" w:cs="Arial"/>
              </w:rPr>
              <w:t xml:space="preserve">Group </w:t>
            </w:r>
            <w:r w:rsidRPr="00600E61">
              <w:rPr>
                <w:rFonts w:ascii="Arial" w:hAnsi="Arial" w:cs="Arial"/>
              </w:rPr>
              <w:t>Money Laundering Reporting Officer on the operation and effectiveness of IG’s Anti Money Laundering (“AML”) and Countering Terrorist Financing (“CTF”)</w:t>
            </w:r>
            <w:r w:rsidRPr="00600E61">
              <w:rPr>
                <w:rFonts w:ascii="Arial" w:hAnsi="Arial" w:cs="Arial"/>
                <w:spacing w:val="52"/>
              </w:rPr>
              <w:t xml:space="preserve"> </w:t>
            </w:r>
            <w:r w:rsidRPr="00600E61">
              <w:rPr>
                <w:rFonts w:ascii="Arial" w:hAnsi="Arial" w:cs="Arial"/>
              </w:rPr>
              <w:t>controls for</w:t>
            </w:r>
            <w:r w:rsidR="00026D2C">
              <w:rPr>
                <w:rFonts w:ascii="Arial" w:hAnsi="Arial" w:cs="Arial"/>
              </w:rPr>
              <w:t xml:space="preserve"> </w:t>
            </w:r>
            <w:r w:rsidRPr="00600E61">
              <w:rPr>
                <w:rFonts w:ascii="Arial" w:hAnsi="Arial" w:cs="Arial"/>
              </w:rPr>
              <w:t>recommendation to the Board.</w:t>
            </w:r>
          </w:p>
          <w:p w14:paraId="01BD10DE" w14:textId="5885D1D0" w:rsidR="000E37BE" w:rsidRPr="00600E61" w:rsidRDefault="000E37BE" w:rsidP="000E37BE">
            <w:pPr>
              <w:pStyle w:val="TableParagraph"/>
              <w:tabs>
                <w:tab w:val="left" w:pos="8205"/>
              </w:tabs>
              <w:spacing w:before="0"/>
              <w:ind w:left="135" w:right="141"/>
              <w:jc w:val="both"/>
              <w:rPr>
                <w:rFonts w:ascii="Arial" w:hAnsi="Arial" w:cs="Arial"/>
              </w:rPr>
            </w:pPr>
          </w:p>
        </w:tc>
        <w:tc>
          <w:tcPr>
            <w:tcW w:w="709" w:type="dxa"/>
          </w:tcPr>
          <w:p w14:paraId="4D3CB88A" w14:textId="7840AF06" w:rsidR="00F10200" w:rsidRPr="00600E61" w:rsidRDefault="00F10200" w:rsidP="005930DA">
            <w:pPr>
              <w:pStyle w:val="TableParagraph"/>
              <w:spacing w:before="134"/>
              <w:jc w:val="center"/>
              <w:rPr>
                <w:rFonts w:ascii="Arial" w:hAnsi="Arial" w:cs="Arial"/>
                <w:b/>
              </w:rPr>
            </w:pPr>
          </w:p>
        </w:tc>
      </w:tr>
    </w:tbl>
    <w:p w14:paraId="2BFC3E5C" w14:textId="77777777" w:rsidR="00026D2C" w:rsidRDefault="00026D2C" w:rsidP="000E37BE">
      <w:pPr>
        <w:pStyle w:val="Heading1"/>
        <w:tabs>
          <w:tab w:val="left" w:pos="993"/>
        </w:tabs>
        <w:ind w:left="0" w:firstLine="0"/>
        <w:rPr>
          <w:rFonts w:ascii="Arial" w:hAnsi="Arial" w:cs="Arial"/>
        </w:rPr>
      </w:pPr>
    </w:p>
    <w:p w14:paraId="0402B987" w14:textId="5DD4137B" w:rsidR="00F10200" w:rsidRPr="00600E61" w:rsidRDefault="00D90F40" w:rsidP="005930DA">
      <w:pPr>
        <w:pStyle w:val="Heading1"/>
        <w:numPr>
          <w:ilvl w:val="1"/>
          <w:numId w:val="3"/>
        </w:numPr>
        <w:tabs>
          <w:tab w:val="left" w:pos="567"/>
        </w:tabs>
        <w:ind w:hanging="993"/>
        <w:rPr>
          <w:rFonts w:ascii="Arial" w:hAnsi="Arial" w:cs="Arial"/>
        </w:rPr>
      </w:pPr>
      <w:r w:rsidRPr="00600E61">
        <w:rPr>
          <w:rFonts w:ascii="Arial" w:hAnsi="Arial" w:cs="Arial"/>
        </w:rPr>
        <w:lastRenderedPageBreak/>
        <w:t>Group Corporate Insurance</w:t>
      </w:r>
      <w:r w:rsidRPr="00026D2C">
        <w:rPr>
          <w:rFonts w:ascii="Arial" w:hAnsi="Arial" w:cs="Arial"/>
        </w:rPr>
        <w:t xml:space="preserve"> </w:t>
      </w:r>
      <w:r w:rsidRPr="00600E61">
        <w:rPr>
          <w:rFonts w:ascii="Arial" w:hAnsi="Arial" w:cs="Arial"/>
        </w:rPr>
        <w:t>Cover</w:t>
      </w:r>
    </w:p>
    <w:p w14:paraId="7794344D" w14:textId="77777777" w:rsidR="00F10200" w:rsidRPr="00600E61" w:rsidRDefault="00F10200">
      <w:pPr>
        <w:pStyle w:val="BodyText"/>
        <w:spacing w:before="10"/>
        <w:rPr>
          <w:rFonts w:ascii="Arial" w:hAnsi="Arial" w:cs="Arial"/>
          <w:b/>
        </w:rPr>
      </w:pPr>
    </w:p>
    <w:p w14:paraId="2E3548F6" w14:textId="51FA544D" w:rsidR="00F10200" w:rsidRPr="006F37D0" w:rsidRDefault="00D90F40" w:rsidP="005930DA">
      <w:pPr>
        <w:pStyle w:val="BodyText"/>
        <w:ind w:left="567"/>
        <w:rPr>
          <w:rFonts w:ascii="Arial" w:hAnsi="Arial" w:cs="Arial"/>
        </w:rPr>
      </w:pPr>
      <w:r w:rsidRPr="00600E61">
        <w:rPr>
          <w:rFonts w:ascii="Arial" w:hAnsi="Arial" w:cs="Arial"/>
        </w:rPr>
        <w:t>The Committee shall:</w:t>
      </w:r>
    </w:p>
    <w:p w14:paraId="4D3CC25C" w14:textId="77777777" w:rsidR="00F10200" w:rsidRPr="00600E61" w:rsidRDefault="00F10200">
      <w:pPr>
        <w:pStyle w:val="BodyText"/>
        <w:spacing w:before="1" w:after="1"/>
        <w:rPr>
          <w:rFonts w:ascii="Arial" w:hAnsi="Arial" w:cs="Arial"/>
          <w:sz w:val="14"/>
        </w:rPr>
      </w:pPr>
    </w:p>
    <w:tbl>
      <w:tblPr>
        <w:tblW w:w="9923" w:type="dxa"/>
        <w:tblInd w:w="567" w:type="dxa"/>
        <w:tblLayout w:type="fixed"/>
        <w:tblCellMar>
          <w:left w:w="0" w:type="dxa"/>
          <w:right w:w="0" w:type="dxa"/>
        </w:tblCellMar>
        <w:tblLook w:val="01E0" w:firstRow="1" w:lastRow="1" w:firstColumn="1" w:lastColumn="1" w:noHBand="0" w:noVBand="0"/>
      </w:tblPr>
      <w:tblGrid>
        <w:gridCol w:w="851"/>
        <w:gridCol w:w="8363"/>
        <w:gridCol w:w="709"/>
      </w:tblGrid>
      <w:tr w:rsidR="00F10200" w:rsidRPr="00600E61" w14:paraId="2E10F6E8" w14:textId="77777777" w:rsidTr="005930DA">
        <w:trPr>
          <w:trHeight w:val="944"/>
        </w:trPr>
        <w:tc>
          <w:tcPr>
            <w:tcW w:w="851" w:type="dxa"/>
          </w:tcPr>
          <w:p w14:paraId="2EF917B8" w14:textId="64876AD8" w:rsidR="00F10200" w:rsidRPr="00600E61" w:rsidRDefault="00C0526D">
            <w:pPr>
              <w:pStyle w:val="TableParagraph"/>
              <w:ind w:right="180"/>
              <w:jc w:val="center"/>
              <w:rPr>
                <w:rFonts w:ascii="Arial" w:hAnsi="Arial" w:cs="Arial"/>
              </w:rPr>
            </w:pPr>
            <w:r>
              <w:rPr>
                <w:rFonts w:ascii="Arial" w:hAnsi="Arial" w:cs="Arial"/>
              </w:rPr>
              <w:t>1</w:t>
            </w:r>
            <w:r w:rsidR="00D90F40" w:rsidRPr="00600E61">
              <w:rPr>
                <w:rFonts w:ascii="Arial" w:hAnsi="Arial" w:cs="Arial"/>
              </w:rPr>
              <w:t>.</w:t>
            </w:r>
            <w:r w:rsidR="006955A5" w:rsidRPr="00600E61">
              <w:rPr>
                <w:rFonts w:ascii="Arial" w:hAnsi="Arial" w:cs="Arial"/>
              </w:rPr>
              <w:t>8</w:t>
            </w:r>
            <w:r w:rsidR="00D90F40" w:rsidRPr="00600E61">
              <w:rPr>
                <w:rFonts w:ascii="Arial" w:hAnsi="Arial" w:cs="Arial"/>
              </w:rPr>
              <w:t>.1</w:t>
            </w:r>
          </w:p>
        </w:tc>
        <w:tc>
          <w:tcPr>
            <w:tcW w:w="8363" w:type="dxa"/>
          </w:tcPr>
          <w:p w14:paraId="250FAE95" w14:textId="1F2D200F" w:rsidR="00F10200" w:rsidRPr="00600E61" w:rsidRDefault="00C708A7" w:rsidP="005930DA">
            <w:pPr>
              <w:pStyle w:val="TableParagraph"/>
              <w:tabs>
                <w:tab w:val="left" w:pos="8073"/>
              </w:tabs>
              <w:spacing w:before="0"/>
              <w:ind w:left="135" w:right="141"/>
              <w:jc w:val="both"/>
              <w:rPr>
                <w:rFonts w:ascii="Arial" w:hAnsi="Arial" w:cs="Arial"/>
              </w:rPr>
            </w:pPr>
            <w:r w:rsidRPr="00600E61">
              <w:rPr>
                <w:rFonts w:ascii="Arial" w:hAnsi="Arial" w:cs="Arial"/>
              </w:rPr>
              <w:t xml:space="preserve">periodically </w:t>
            </w:r>
            <w:r w:rsidR="00D90F40" w:rsidRPr="00600E61">
              <w:rPr>
                <w:rFonts w:ascii="Arial" w:hAnsi="Arial" w:cs="Arial"/>
              </w:rPr>
              <w:t xml:space="preserve">review the design of the </w:t>
            </w:r>
            <w:r w:rsidR="00C31C40" w:rsidRPr="00600E61">
              <w:rPr>
                <w:rFonts w:ascii="Arial" w:hAnsi="Arial" w:cs="Arial"/>
              </w:rPr>
              <w:t>G</w:t>
            </w:r>
            <w:r w:rsidR="00D90F40" w:rsidRPr="00600E61">
              <w:rPr>
                <w:rFonts w:ascii="Arial" w:hAnsi="Arial" w:cs="Arial"/>
              </w:rPr>
              <w:t>roup’s corporate insurance cover against</w:t>
            </w:r>
            <w:r w:rsidR="00D90F40" w:rsidRPr="00600E61">
              <w:rPr>
                <w:rFonts w:ascii="Arial" w:hAnsi="Arial" w:cs="Arial"/>
                <w:spacing w:val="-6"/>
              </w:rPr>
              <w:t xml:space="preserve"> </w:t>
            </w:r>
            <w:r w:rsidR="00D90F40" w:rsidRPr="00600E61">
              <w:rPr>
                <w:rFonts w:ascii="Arial" w:hAnsi="Arial" w:cs="Arial"/>
              </w:rPr>
              <w:t>the</w:t>
            </w:r>
            <w:r w:rsidR="00D90F40" w:rsidRPr="00600E61">
              <w:rPr>
                <w:rFonts w:ascii="Arial" w:hAnsi="Arial" w:cs="Arial"/>
                <w:spacing w:val="-4"/>
              </w:rPr>
              <w:t xml:space="preserve"> </w:t>
            </w:r>
            <w:r w:rsidR="00D90F40" w:rsidRPr="00600E61">
              <w:rPr>
                <w:rFonts w:ascii="Arial" w:hAnsi="Arial" w:cs="Arial"/>
              </w:rPr>
              <w:t>current</w:t>
            </w:r>
            <w:r w:rsidR="00D90F40" w:rsidRPr="00600E61">
              <w:rPr>
                <w:rFonts w:ascii="Arial" w:hAnsi="Arial" w:cs="Arial"/>
                <w:spacing w:val="-5"/>
              </w:rPr>
              <w:t xml:space="preserve"> </w:t>
            </w:r>
            <w:r w:rsidR="00D90F40" w:rsidRPr="00600E61">
              <w:rPr>
                <w:rFonts w:ascii="Arial" w:hAnsi="Arial" w:cs="Arial"/>
              </w:rPr>
              <w:t>and</w:t>
            </w:r>
            <w:r w:rsidR="00D90F40" w:rsidRPr="00600E61">
              <w:rPr>
                <w:rFonts w:ascii="Arial" w:hAnsi="Arial" w:cs="Arial"/>
                <w:spacing w:val="-5"/>
              </w:rPr>
              <w:t xml:space="preserve"> </w:t>
            </w:r>
            <w:r w:rsidR="00D90F40" w:rsidRPr="00600E61">
              <w:rPr>
                <w:rFonts w:ascii="Arial" w:hAnsi="Arial" w:cs="Arial"/>
              </w:rPr>
              <w:t>future</w:t>
            </w:r>
            <w:r w:rsidR="00D90F40" w:rsidRPr="00600E61">
              <w:rPr>
                <w:rFonts w:ascii="Arial" w:hAnsi="Arial" w:cs="Arial"/>
                <w:spacing w:val="-4"/>
              </w:rPr>
              <w:t xml:space="preserve"> </w:t>
            </w:r>
            <w:r w:rsidR="00D90F40" w:rsidRPr="00600E61">
              <w:rPr>
                <w:rFonts w:ascii="Arial" w:hAnsi="Arial" w:cs="Arial"/>
              </w:rPr>
              <w:t>risks</w:t>
            </w:r>
            <w:r w:rsidR="00D90F40" w:rsidRPr="00600E61">
              <w:rPr>
                <w:rFonts w:ascii="Arial" w:hAnsi="Arial" w:cs="Arial"/>
                <w:spacing w:val="-7"/>
              </w:rPr>
              <w:t xml:space="preserve"> </w:t>
            </w:r>
            <w:r w:rsidR="00D90F40" w:rsidRPr="00600E61">
              <w:rPr>
                <w:rFonts w:ascii="Arial" w:hAnsi="Arial" w:cs="Arial"/>
              </w:rPr>
              <w:t>in</w:t>
            </w:r>
            <w:r w:rsidR="00D90F40" w:rsidRPr="00600E61">
              <w:rPr>
                <w:rFonts w:ascii="Arial" w:hAnsi="Arial" w:cs="Arial"/>
                <w:spacing w:val="-6"/>
              </w:rPr>
              <w:t xml:space="preserve"> </w:t>
            </w:r>
            <w:r w:rsidR="00D90F40" w:rsidRPr="00600E61">
              <w:rPr>
                <w:rFonts w:ascii="Arial" w:hAnsi="Arial" w:cs="Arial"/>
              </w:rPr>
              <w:t>order</w:t>
            </w:r>
            <w:r w:rsidR="00D90F40" w:rsidRPr="00600E61">
              <w:rPr>
                <w:rFonts w:ascii="Arial" w:hAnsi="Arial" w:cs="Arial"/>
                <w:spacing w:val="-4"/>
              </w:rPr>
              <w:t xml:space="preserve"> </w:t>
            </w:r>
            <w:r w:rsidR="00D90F40" w:rsidRPr="00600E61">
              <w:rPr>
                <w:rFonts w:ascii="Arial" w:hAnsi="Arial" w:cs="Arial"/>
              </w:rPr>
              <w:t>to</w:t>
            </w:r>
            <w:r w:rsidR="00D90F40" w:rsidRPr="00600E61">
              <w:rPr>
                <w:rFonts w:ascii="Arial" w:hAnsi="Arial" w:cs="Arial"/>
                <w:spacing w:val="-8"/>
              </w:rPr>
              <w:t xml:space="preserve"> </w:t>
            </w:r>
            <w:r w:rsidR="00D90F40" w:rsidRPr="00600E61">
              <w:rPr>
                <w:rFonts w:ascii="Arial" w:hAnsi="Arial" w:cs="Arial"/>
              </w:rPr>
              <w:t>recommend</w:t>
            </w:r>
            <w:r w:rsidR="00D90F40" w:rsidRPr="00600E61">
              <w:rPr>
                <w:rFonts w:ascii="Arial" w:hAnsi="Arial" w:cs="Arial"/>
                <w:spacing w:val="-5"/>
              </w:rPr>
              <w:t xml:space="preserve"> </w:t>
            </w:r>
            <w:r w:rsidR="00D90F40" w:rsidRPr="00600E61">
              <w:rPr>
                <w:rFonts w:ascii="Arial" w:hAnsi="Arial" w:cs="Arial"/>
              </w:rPr>
              <w:t>to</w:t>
            </w:r>
            <w:r w:rsidR="00D90F40" w:rsidRPr="00600E61">
              <w:rPr>
                <w:rFonts w:ascii="Arial" w:hAnsi="Arial" w:cs="Arial"/>
                <w:spacing w:val="-6"/>
              </w:rPr>
              <w:t xml:space="preserve"> </w:t>
            </w:r>
            <w:r w:rsidR="00D90F40" w:rsidRPr="00600E61">
              <w:rPr>
                <w:rFonts w:ascii="Arial" w:hAnsi="Arial" w:cs="Arial"/>
              </w:rPr>
              <w:t>the</w:t>
            </w:r>
            <w:r w:rsidR="00D90F40" w:rsidRPr="00600E61">
              <w:rPr>
                <w:rFonts w:ascii="Arial" w:hAnsi="Arial" w:cs="Arial"/>
                <w:spacing w:val="-4"/>
              </w:rPr>
              <w:t xml:space="preserve"> </w:t>
            </w:r>
            <w:r w:rsidR="00D90F40" w:rsidRPr="00600E61">
              <w:rPr>
                <w:rFonts w:ascii="Arial" w:hAnsi="Arial" w:cs="Arial"/>
              </w:rPr>
              <w:t>Board</w:t>
            </w:r>
            <w:r w:rsidR="00D90F40" w:rsidRPr="00600E61">
              <w:rPr>
                <w:rFonts w:ascii="Arial" w:hAnsi="Arial" w:cs="Arial"/>
                <w:spacing w:val="-5"/>
              </w:rPr>
              <w:t xml:space="preserve"> </w:t>
            </w:r>
            <w:r w:rsidR="00D90F40" w:rsidRPr="00600E61">
              <w:rPr>
                <w:rFonts w:ascii="Arial" w:hAnsi="Arial" w:cs="Arial"/>
              </w:rPr>
              <w:t>any changes to that</w:t>
            </w:r>
            <w:r w:rsidR="00D90F40" w:rsidRPr="00600E61">
              <w:rPr>
                <w:rFonts w:ascii="Arial" w:hAnsi="Arial" w:cs="Arial"/>
                <w:spacing w:val="-6"/>
              </w:rPr>
              <w:t xml:space="preserve"> </w:t>
            </w:r>
            <w:r w:rsidR="00D90F40" w:rsidRPr="00600E61">
              <w:rPr>
                <w:rFonts w:ascii="Arial" w:hAnsi="Arial" w:cs="Arial"/>
              </w:rPr>
              <w:t>design;</w:t>
            </w:r>
            <w:r w:rsidR="009F015B" w:rsidRPr="00600E61">
              <w:rPr>
                <w:rFonts w:ascii="Arial" w:hAnsi="Arial" w:cs="Arial"/>
              </w:rPr>
              <w:t xml:space="preserve"> and</w:t>
            </w:r>
          </w:p>
        </w:tc>
        <w:tc>
          <w:tcPr>
            <w:tcW w:w="709" w:type="dxa"/>
          </w:tcPr>
          <w:p w14:paraId="65A96191" w14:textId="3A1ACF70" w:rsidR="00F10200" w:rsidRPr="00600E61" w:rsidRDefault="00F10200">
            <w:pPr>
              <w:pStyle w:val="TableParagraph"/>
              <w:ind w:right="197"/>
              <w:jc w:val="right"/>
              <w:rPr>
                <w:rFonts w:ascii="Arial" w:hAnsi="Arial" w:cs="Arial"/>
                <w:b/>
              </w:rPr>
            </w:pPr>
          </w:p>
        </w:tc>
      </w:tr>
      <w:tr w:rsidR="00F10200" w:rsidRPr="00600E61" w14:paraId="67D74685" w14:textId="77777777" w:rsidTr="005930DA">
        <w:trPr>
          <w:trHeight w:val="404"/>
        </w:trPr>
        <w:tc>
          <w:tcPr>
            <w:tcW w:w="851" w:type="dxa"/>
          </w:tcPr>
          <w:p w14:paraId="4473E8F5" w14:textId="3194D5E7" w:rsidR="00F10200" w:rsidRPr="00600E61" w:rsidRDefault="00C0526D">
            <w:pPr>
              <w:pStyle w:val="TableParagraph"/>
              <w:spacing w:before="134" w:line="250" w:lineRule="exact"/>
              <w:ind w:right="180"/>
              <w:jc w:val="center"/>
              <w:rPr>
                <w:rFonts w:ascii="Arial" w:hAnsi="Arial" w:cs="Arial"/>
              </w:rPr>
            </w:pPr>
            <w:r>
              <w:rPr>
                <w:rFonts w:ascii="Arial" w:hAnsi="Arial" w:cs="Arial"/>
              </w:rPr>
              <w:t>1</w:t>
            </w:r>
            <w:r w:rsidR="00D90F40" w:rsidRPr="00600E61">
              <w:rPr>
                <w:rFonts w:ascii="Arial" w:hAnsi="Arial" w:cs="Arial"/>
              </w:rPr>
              <w:t>.</w:t>
            </w:r>
            <w:r w:rsidR="006955A5" w:rsidRPr="00600E61">
              <w:rPr>
                <w:rFonts w:ascii="Arial" w:hAnsi="Arial" w:cs="Arial"/>
              </w:rPr>
              <w:t>8</w:t>
            </w:r>
            <w:r w:rsidR="00D90F40" w:rsidRPr="00600E61">
              <w:rPr>
                <w:rFonts w:ascii="Arial" w:hAnsi="Arial" w:cs="Arial"/>
              </w:rPr>
              <w:t>.2</w:t>
            </w:r>
          </w:p>
        </w:tc>
        <w:tc>
          <w:tcPr>
            <w:tcW w:w="8363" w:type="dxa"/>
          </w:tcPr>
          <w:p w14:paraId="2DBCC85C" w14:textId="7DFD8452" w:rsidR="00F10200" w:rsidRPr="00600E61" w:rsidRDefault="00D90F40" w:rsidP="00A90757">
            <w:pPr>
              <w:pStyle w:val="BodyText"/>
              <w:ind w:left="135" w:right="141"/>
              <w:jc w:val="both"/>
              <w:rPr>
                <w:rFonts w:ascii="Arial" w:hAnsi="Arial" w:cs="Arial"/>
              </w:rPr>
            </w:pPr>
            <w:r w:rsidRPr="00600E61">
              <w:rPr>
                <w:rFonts w:ascii="Arial" w:hAnsi="Arial" w:cs="Arial"/>
              </w:rPr>
              <w:t xml:space="preserve">review the annual </w:t>
            </w:r>
            <w:r w:rsidR="0078577A">
              <w:rPr>
                <w:rFonts w:ascii="Arial" w:hAnsi="Arial" w:cs="Arial"/>
              </w:rPr>
              <w:t>G</w:t>
            </w:r>
            <w:r w:rsidRPr="00600E61">
              <w:rPr>
                <w:rFonts w:ascii="Arial" w:hAnsi="Arial" w:cs="Arial"/>
              </w:rPr>
              <w:t>roup corporate insurance renewal terms and make</w:t>
            </w:r>
            <w:r w:rsidR="00C70EB7">
              <w:rPr>
                <w:rFonts w:ascii="Arial" w:hAnsi="Arial" w:cs="Arial"/>
              </w:rPr>
              <w:t xml:space="preserve"> </w:t>
            </w:r>
            <w:r w:rsidR="00C70EB7">
              <w:rPr>
                <w:rFonts w:ascii="Arial" w:hAnsi="Arial" w:cs="Arial"/>
              </w:rPr>
              <w:br/>
            </w:r>
            <w:r w:rsidR="00C70EB7" w:rsidRPr="00600E61">
              <w:rPr>
                <w:rFonts w:ascii="Arial" w:hAnsi="Arial" w:cs="Arial"/>
              </w:rPr>
              <w:t>renewal recommendations to the Board.</w:t>
            </w:r>
          </w:p>
        </w:tc>
        <w:tc>
          <w:tcPr>
            <w:tcW w:w="709" w:type="dxa"/>
          </w:tcPr>
          <w:p w14:paraId="3E5F4498" w14:textId="35DECD12" w:rsidR="00F10200" w:rsidRPr="00600E61" w:rsidRDefault="00F10200">
            <w:pPr>
              <w:pStyle w:val="TableParagraph"/>
              <w:spacing w:before="134" w:line="250" w:lineRule="exact"/>
              <w:ind w:right="197"/>
              <w:jc w:val="right"/>
              <w:rPr>
                <w:rFonts w:ascii="Arial" w:hAnsi="Arial" w:cs="Arial"/>
                <w:b/>
              </w:rPr>
            </w:pPr>
          </w:p>
        </w:tc>
      </w:tr>
    </w:tbl>
    <w:p w14:paraId="647C984E" w14:textId="77777777" w:rsidR="00026D2C" w:rsidRDefault="00026D2C" w:rsidP="00026D2C">
      <w:pPr>
        <w:pStyle w:val="Heading1"/>
        <w:tabs>
          <w:tab w:val="left" w:pos="993"/>
        </w:tabs>
        <w:ind w:left="993" w:firstLine="0"/>
        <w:rPr>
          <w:rFonts w:ascii="Arial" w:hAnsi="Arial" w:cs="Arial"/>
        </w:rPr>
      </w:pPr>
    </w:p>
    <w:p w14:paraId="675DD58E" w14:textId="37B2E15E" w:rsidR="00F10200" w:rsidRPr="00600E61" w:rsidRDefault="00D90F40" w:rsidP="005930DA">
      <w:pPr>
        <w:pStyle w:val="Heading1"/>
        <w:numPr>
          <w:ilvl w:val="1"/>
          <w:numId w:val="3"/>
        </w:numPr>
        <w:tabs>
          <w:tab w:val="left" w:pos="567"/>
        </w:tabs>
        <w:ind w:hanging="993"/>
        <w:rPr>
          <w:rFonts w:ascii="Arial" w:hAnsi="Arial" w:cs="Arial"/>
        </w:rPr>
      </w:pPr>
      <w:r w:rsidRPr="00600E61">
        <w:rPr>
          <w:rFonts w:ascii="Arial" w:hAnsi="Arial" w:cs="Arial"/>
        </w:rPr>
        <w:t>Internal</w:t>
      </w:r>
      <w:r w:rsidRPr="00026D2C">
        <w:rPr>
          <w:rFonts w:ascii="Arial" w:hAnsi="Arial" w:cs="Arial"/>
        </w:rPr>
        <w:t xml:space="preserve"> </w:t>
      </w:r>
      <w:r w:rsidRPr="00600E61">
        <w:rPr>
          <w:rFonts w:ascii="Arial" w:hAnsi="Arial" w:cs="Arial"/>
        </w:rPr>
        <w:t>Audit</w:t>
      </w:r>
    </w:p>
    <w:p w14:paraId="15D6935D" w14:textId="77777777" w:rsidR="00F10200" w:rsidRPr="00600E61" w:rsidRDefault="00F10200">
      <w:pPr>
        <w:pStyle w:val="BodyText"/>
        <w:rPr>
          <w:rFonts w:ascii="Arial" w:hAnsi="Arial" w:cs="Arial"/>
          <w:b/>
        </w:rPr>
      </w:pPr>
    </w:p>
    <w:p w14:paraId="63E0040A" w14:textId="77777777" w:rsidR="00F10200" w:rsidRPr="00600E61" w:rsidRDefault="00D90F40" w:rsidP="005930DA">
      <w:pPr>
        <w:pStyle w:val="BodyText"/>
        <w:ind w:left="567"/>
        <w:rPr>
          <w:rFonts w:ascii="Arial" w:hAnsi="Arial" w:cs="Arial"/>
        </w:rPr>
      </w:pPr>
      <w:r w:rsidRPr="00600E61">
        <w:rPr>
          <w:rFonts w:ascii="Arial" w:hAnsi="Arial" w:cs="Arial"/>
        </w:rPr>
        <w:t>The Committee</w:t>
      </w:r>
      <w:r w:rsidRPr="00600E61">
        <w:rPr>
          <w:rFonts w:ascii="Arial" w:hAnsi="Arial" w:cs="Arial"/>
          <w:spacing w:val="-4"/>
        </w:rPr>
        <w:t xml:space="preserve"> </w:t>
      </w:r>
      <w:r w:rsidRPr="00600E61">
        <w:rPr>
          <w:rFonts w:ascii="Arial" w:hAnsi="Arial" w:cs="Arial"/>
        </w:rPr>
        <w:t>shall:</w:t>
      </w:r>
    </w:p>
    <w:p w14:paraId="5E78BD8D" w14:textId="28AA92CD" w:rsidR="00F10200" w:rsidRDefault="00F10200">
      <w:pPr>
        <w:pStyle w:val="BodyText"/>
        <w:spacing w:before="3"/>
        <w:rPr>
          <w:rFonts w:ascii="Arial" w:hAnsi="Arial" w:cs="Arial"/>
          <w:sz w:val="18"/>
        </w:rPr>
      </w:pPr>
    </w:p>
    <w:tbl>
      <w:tblPr>
        <w:tblW w:w="9923" w:type="dxa"/>
        <w:tblInd w:w="567" w:type="dxa"/>
        <w:tblLayout w:type="fixed"/>
        <w:tblCellMar>
          <w:left w:w="0" w:type="dxa"/>
          <w:right w:w="0" w:type="dxa"/>
        </w:tblCellMar>
        <w:tblLook w:val="01E0" w:firstRow="1" w:lastRow="1" w:firstColumn="1" w:lastColumn="1" w:noHBand="0" w:noVBand="0"/>
      </w:tblPr>
      <w:tblGrid>
        <w:gridCol w:w="851"/>
        <w:gridCol w:w="8363"/>
        <w:gridCol w:w="709"/>
      </w:tblGrid>
      <w:tr w:rsidR="00D96EE0" w:rsidRPr="00600E61" w14:paraId="4E3D2ABC" w14:textId="77777777" w:rsidTr="00B04695">
        <w:trPr>
          <w:trHeight w:val="944"/>
        </w:trPr>
        <w:tc>
          <w:tcPr>
            <w:tcW w:w="851" w:type="dxa"/>
          </w:tcPr>
          <w:p w14:paraId="36EB8D4D" w14:textId="3F6DF053" w:rsidR="00D96EE0" w:rsidRPr="00600E61" w:rsidRDefault="00C0526D">
            <w:pPr>
              <w:pStyle w:val="TableParagraph"/>
              <w:ind w:right="180"/>
              <w:jc w:val="center"/>
              <w:rPr>
                <w:rFonts w:ascii="Arial" w:hAnsi="Arial" w:cs="Arial"/>
              </w:rPr>
            </w:pPr>
            <w:r>
              <w:rPr>
                <w:rFonts w:ascii="Arial" w:hAnsi="Arial" w:cs="Arial"/>
              </w:rPr>
              <w:t>1</w:t>
            </w:r>
            <w:r w:rsidR="00D96EE0" w:rsidRPr="00600E61">
              <w:rPr>
                <w:rFonts w:ascii="Arial" w:hAnsi="Arial" w:cs="Arial"/>
              </w:rPr>
              <w:t>.9.1</w:t>
            </w:r>
          </w:p>
        </w:tc>
        <w:tc>
          <w:tcPr>
            <w:tcW w:w="8363" w:type="dxa"/>
          </w:tcPr>
          <w:p w14:paraId="05BFBBF3" w14:textId="2F524CA9" w:rsidR="00D96EE0" w:rsidRPr="00600E61" w:rsidRDefault="00D96EE0" w:rsidP="005930DA">
            <w:pPr>
              <w:pStyle w:val="TableParagraph"/>
              <w:tabs>
                <w:tab w:val="left" w:pos="8205"/>
              </w:tabs>
              <w:spacing w:before="0"/>
              <w:ind w:left="135" w:right="141"/>
              <w:jc w:val="both"/>
              <w:rPr>
                <w:rFonts w:ascii="Arial" w:hAnsi="Arial" w:cs="Arial"/>
              </w:rPr>
            </w:pPr>
            <w:r w:rsidRPr="00600E61">
              <w:rPr>
                <w:rFonts w:ascii="Arial" w:hAnsi="Arial" w:cs="Arial"/>
              </w:rPr>
              <w:t>receive and consider a report</w:t>
            </w:r>
            <w:r w:rsidRPr="00D96EE0">
              <w:rPr>
                <w:rFonts w:ascii="Arial" w:hAnsi="Arial" w:cs="Arial"/>
              </w:rPr>
              <w:t xml:space="preserve"> </w:t>
            </w:r>
            <w:r w:rsidRPr="00600E61">
              <w:rPr>
                <w:rFonts w:ascii="Arial" w:hAnsi="Arial" w:cs="Arial"/>
              </w:rPr>
              <w:t>from Internal Audit (IA) on</w:t>
            </w:r>
            <w:r w:rsidRPr="00D96EE0">
              <w:rPr>
                <w:rFonts w:ascii="Arial" w:hAnsi="Arial" w:cs="Arial"/>
              </w:rPr>
              <w:t xml:space="preserve"> </w:t>
            </w:r>
            <w:r w:rsidRPr="00600E61">
              <w:rPr>
                <w:rFonts w:ascii="Arial" w:hAnsi="Arial" w:cs="Arial"/>
              </w:rPr>
              <w:t>advisory</w:t>
            </w:r>
            <w:r w:rsidRPr="00D96EE0">
              <w:rPr>
                <w:rFonts w:ascii="Arial" w:hAnsi="Arial" w:cs="Arial"/>
              </w:rPr>
              <w:t xml:space="preserve"> </w:t>
            </w:r>
            <w:r w:rsidRPr="00600E61">
              <w:rPr>
                <w:rFonts w:ascii="Arial" w:hAnsi="Arial" w:cs="Arial"/>
              </w:rPr>
              <w:t>work</w:t>
            </w:r>
            <w:r>
              <w:rPr>
                <w:rFonts w:ascii="Arial" w:hAnsi="Arial" w:cs="Arial"/>
              </w:rPr>
              <w:t xml:space="preserve"> </w:t>
            </w:r>
            <w:r w:rsidRPr="00600E61">
              <w:rPr>
                <w:rFonts w:ascii="Arial" w:hAnsi="Arial" w:cs="Arial"/>
              </w:rPr>
              <w:t>conducted by the IA function and to provide periodic updates on the state of the risk management framework and the current and potential risk exposures of the Group. Such reporting will take into account</w:t>
            </w:r>
            <w:r w:rsidRPr="00D96EE0">
              <w:rPr>
                <w:rFonts w:ascii="Arial" w:hAnsi="Arial" w:cs="Arial"/>
              </w:rPr>
              <w:t xml:space="preserve"> </w:t>
            </w:r>
            <w:r w:rsidRPr="00600E61">
              <w:rPr>
                <w:rFonts w:ascii="Arial" w:hAnsi="Arial" w:cs="Arial"/>
              </w:rPr>
              <w:t>the</w:t>
            </w:r>
            <w:r w:rsidRPr="00D96EE0">
              <w:rPr>
                <w:rFonts w:ascii="Arial" w:hAnsi="Arial" w:cs="Arial"/>
              </w:rPr>
              <w:t xml:space="preserve"> </w:t>
            </w:r>
            <w:r w:rsidRPr="00600E61">
              <w:rPr>
                <w:rFonts w:ascii="Arial" w:hAnsi="Arial" w:cs="Arial"/>
              </w:rPr>
              <w:t>Risk</w:t>
            </w:r>
            <w:r w:rsidRPr="00D96EE0">
              <w:rPr>
                <w:rFonts w:ascii="Arial" w:hAnsi="Arial" w:cs="Arial"/>
              </w:rPr>
              <w:t xml:space="preserve"> </w:t>
            </w:r>
            <w:r w:rsidRPr="00600E61">
              <w:rPr>
                <w:rFonts w:ascii="Arial" w:hAnsi="Arial" w:cs="Arial"/>
              </w:rPr>
              <w:t>Appetite</w:t>
            </w:r>
            <w:r w:rsidRPr="00D96EE0">
              <w:rPr>
                <w:rFonts w:ascii="Arial" w:hAnsi="Arial" w:cs="Arial"/>
              </w:rPr>
              <w:t xml:space="preserve"> </w:t>
            </w:r>
            <w:r w:rsidRPr="00600E61">
              <w:rPr>
                <w:rFonts w:ascii="Arial" w:hAnsi="Arial" w:cs="Arial"/>
              </w:rPr>
              <w:t>and</w:t>
            </w:r>
            <w:r w:rsidRPr="00D96EE0">
              <w:rPr>
                <w:rFonts w:ascii="Arial" w:hAnsi="Arial" w:cs="Arial"/>
              </w:rPr>
              <w:t xml:space="preserve"> </w:t>
            </w:r>
            <w:r w:rsidRPr="00600E61">
              <w:rPr>
                <w:rFonts w:ascii="Arial" w:hAnsi="Arial" w:cs="Arial"/>
              </w:rPr>
              <w:t>Risk</w:t>
            </w:r>
            <w:r w:rsidRPr="00D96EE0">
              <w:rPr>
                <w:rFonts w:ascii="Arial" w:hAnsi="Arial" w:cs="Arial"/>
              </w:rPr>
              <w:t xml:space="preserve"> </w:t>
            </w:r>
            <w:r w:rsidRPr="00600E61">
              <w:rPr>
                <w:rFonts w:ascii="Arial" w:hAnsi="Arial" w:cs="Arial"/>
              </w:rPr>
              <w:t>Taxonomy</w:t>
            </w:r>
            <w:r w:rsidRPr="00D96EE0">
              <w:rPr>
                <w:rFonts w:ascii="Arial" w:hAnsi="Arial" w:cs="Arial"/>
              </w:rPr>
              <w:t xml:space="preserve"> </w:t>
            </w:r>
            <w:r w:rsidRPr="00600E61">
              <w:rPr>
                <w:rFonts w:ascii="Arial" w:hAnsi="Arial" w:cs="Arial"/>
              </w:rPr>
              <w:t>agreed</w:t>
            </w:r>
            <w:r w:rsidRPr="00D96EE0">
              <w:rPr>
                <w:rFonts w:ascii="Arial" w:hAnsi="Arial" w:cs="Arial"/>
              </w:rPr>
              <w:t xml:space="preserve"> </w:t>
            </w:r>
            <w:r w:rsidRPr="00600E61">
              <w:rPr>
                <w:rFonts w:ascii="Arial" w:hAnsi="Arial" w:cs="Arial"/>
              </w:rPr>
              <w:t>by</w:t>
            </w:r>
            <w:r w:rsidRPr="00D96EE0">
              <w:rPr>
                <w:rFonts w:ascii="Arial" w:hAnsi="Arial" w:cs="Arial"/>
              </w:rPr>
              <w:t xml:space="preserve"> </w:t>
            </w:r>
            <w:r w:rsidRPr="00600E61">
              <w:rPr>
                <w:rFonts w:ascii="Arial" w:hAnsi="Arial" w:cs="Arial"/>
              </w:rPr>
              <w:t>the</w:t>
            </w:r>
            <w:r w:rsidRPr="00D96EE0">
              <w:rPr>
                <w:rFonts w:ascii="Arial" w:hAnsi="Arial" w:cs="Arial"/>
              </w:rPr>
              <w:t xml:space="preserve"> </w:t>
            </w:r>
            <w:r w:rsidRPr="00600E61">
              <w:rPr>
                <w:rFonts w:ascii="Arial" w:hAnsi="Arial" w:cs="Arial"/>
              </w:rPr>
              <w:t>Board</w:t>
            </w:r>
            <w:r w:rsidRPr="00D96EE0">
              <w:rPr>
                <w:rFonts w:ascii="Arial" w:hAnsi="Arial" w:cs="Arial"/>
              </w:rPr>
              <w:t xml:space="preserve"> </w:t>
            </w:r>
            <w:r w:rsidRPr="00600E61">
              <w:rPr>
                <w:rFonts w:ascii="Arial" w:hAnsi="Arial" w:cs="Arial"/>
              </w:rPr>
              <w:t>and</w:t>
            </w:r>
            <w:r w:rsidRPr="00D96EE0">
              <w:rPr>
                <w:rFonts w:ascii="Arial" w:hAnsi="Arial" w:cs="Arial"/>
              </w:rPr>
              <w:t xml:space="preserve"> </w:t>
            </w:r>
            <w:r w:rsidRPr="00600E61">
              <w:rPr>
                <w:rFonts w:ascii="Arial" w:hAnsi="Arial" w:cs="Arial"/>
              </w:rPr>
              <w:t>will support the annual opinion on the design and operating effectiveness of the risk management framework and system of internal controls prepared by</w:t>
            </w:r>
            <w:r w:rsidRPr="00D96EE0">
              <w:rPr>
                <w:rFonts w:ascii="Arial" w:hAnsi="Arial" w:cs="Arial"/>
              </w:rPr>
              <w:t xml:space="preserve"> </w:t>
            </w:r>
            <w:r w:rsidRPr="00600E61">
              <w:rPr>
                <w:rFonts w:ascii="Arial" w:hAnsi="Arial" w:cs="Arial"/>
              </w:rPr>
              <w:t>IA.</w:t>
            </w:r>
          </w:p>
          <w:p w14:paraId="05989C71" w14:textId="279A070F" w:rsidR="00D96EE0" w:rsidRPr="00600E61" w:rsidRDefault="00D96EE0" w:rsidP="00250F5A">
            <w:pPr>
              <w:pStyle w:val="TableParagraph"/>
              <w:ind w:left="182" w:right="267"/>
              <w:jc w:val="both"/>
              <w:rPr>
                <w:rFonts w:ascii="Arial" w:hAnsi="Arial" w:cs="Arial"/>
              </w:rPr>
            </w:pPr>
          </w:p>
        </w:tc>
        <w:tc>
          <w:tcPr>
            <w:tcW w:w="709" w:type="dxa"/>
            <w:tcBorders>
              <w:left w:val="nil"/>
            </w:tcBorders>
          </w:tcPr>
          <w:p w14:paraId="4AB649E1" w14:textId="77A9703F" w:rsidR="00D96EE0" w:rsidRPr="00600E61" w:rsidRDefault="00D96EE0" w:rsidP="00250F5A">
            <w:pPr>
              <w:pStyle w:val="TableParagraph"/>
              <w:ind w:right="197"/>
              <w:jc w:val="right"/>
              <w:rPr>
                <w:rFonts w:ascii="Arial" w:hAnsi="Arial" w:cs="Arial"/>
                <w:b/>
              </w:rPr>
            </w:pPr>
          </w:p>
        </w:tc>
      </w:tr>
    </w:tbl>
    <w:p w14:paraId="0EC63F58" w14:textId="65DEA9B1" w:rsidR="00F10200" w:rsidRPr="00600E61" w:rsidRDefault="00D90F40" w:rsidP="00C45069">
      <w:pPr>
        <w:pStyle w:val="BodyText"/>
        <w:spacing w:before="101"/>
        <w:ind w:left="1440"/>
        <w:rPr>
          <w:rFonts w:ascii="Arial" w:hAnsi="Arial" w:cs="Arial"/>
        </w:rPr>
      </w:pPr>
      <w:r w:rsidRPr="00600E61">
        <w:rPr>
          <w:rFonts w:ascii="Arial" w:hAnsi="Arial" w:cs="Arial"/>
        </w:rPr>
        <w:t>In support of such activity the Global Head of Internal Audit will report to the</w:t>
      </w:r>
      <w:r w:rsidR="00026D2C">
        <w:rPr>
          <w:rFonts w:ascii="Arial" w:hAnsi="Arial" w:cs="Arial"/>
        </w:rPr>
        <w:t xml:space="preserve"> </w:t>
      </w:r>
      <w:r w:rsidRPr="00600E61">
        <w:rPr>
          <w:rFonts w:ascii="Arial" w:hAnsi="Arial" w:cs="Arial"/>
        </w:rPr>
        <w:t>Committee</w:t>
      </w:r>
      <w:r w:rsidRPr="00600E61">
        <w:rPr>
          <w:rFonts w:ascii="Arial" w:hAnsi="Arial" w:cs="Arial"/>
          <w:spacing w:val="-1"/>
        </w:rPr>
        <w:t xml:space="preserve"> </w:t>
      </w:r>
      <w:r w:rsidRPr="00600E61">
        <w:rPr>
          <w:rFonts w:ascii="Arial" w:hAnsi="Arial" w:cs="Arial"/>
        </w:rPr>
        <w:t>on:</w:t>
      </w:r>
    </w:p>
    <w:p w14:paraId="6678D3EE" w14:textId="77777777" w:rsidR="00F10200" w:rsidRPr="00600E61" w:rsidRDefault="00F10200" w:rsidP="005930DA">
      <w:pPr>
        <w:pStyle w:val="BodyText"/>
        <w:spacing w:before="12"/>
        <w:ind w:hanging="255"/>
        <w:rPr>
          <w:rFonts w:ascii="Arial" w:hAnsi="Arial" w:cs="Arial"/>
          <w:sz w:val="21"/>
        </w:rPr>
      </w:pPr>
    </w:p>
    <w:p w14:paraId="3ACBA56D" w14:textId="77777777" w:rsidR="00D96EE0" w:rsidRDefault="00D90F40" w:rsidP="005930DA">
      <w:pPr>
        <w:pStyle w:val="ListParagraph"/>
        <w:numPr>
          <w:ilvl w:val="2"/>
          <w:numId w:val="3"/>
        </w:numPr>
        <w:tabs>
          <w:tab w:val="left" w:pos="2106"/>
          <w:tab w:val="left" w:pos="2107"/>
        </w:tabs>
        <w:ind w:left="1984" w:hanging="425"/>
        <w:jc w:val="both"/>
        <w:rPr>
          <w:rFonts w:ascii="Arial" w:hAnsi="Arial" w:cs="Arial"/>
        </w:rPr>
      </w:pPr>
      <w:r w:rsidRPr="00600E61">
        <w:rPr>
          <w:rFonts w:ascii="Arial" w:hAnsi="Arial" w:cs="Arial"/>
        </w:rPr>
        <w:t>thematic issues, trends and emerging risks including those identified through internal audit</w:t>
      </w:r>
      <w:r w:rsidRPr="00600E61">
        <w:rPr>
          <w:rFonts w:ascii="Arial" w:hAnsi="Arial" w:cs="Arial"/>
          <w:spacing w:val="-5"/>
        </w:rPr>
        <w:t xml:space="preserve"> </w:t>
      </w:r>
      <w:r w:rsidRPr="00600E61">
        <w:rPr>
          <w:rFonts w:ascii="Arial" w:hAnsi="Arial" w:cs="Arial"/>
        </w:rPr>
        <w:t>reports</w:t>
      </w:r>
      <w:r w:rsidR="009F015B" w:rsidRPr="00600E61">
        <w:rPr>
          <w:rFonts w:ascii="Arial" w:hAnsi="Arial" w:cs="Arial"/>
        </w:rPr>
        <w:t>;</w:t>
      </w:r>
    </w:p>
    <w:p w14:paraId="278C2BF4" w14:textId="77777777" w:rsidR="00D96EE0" w:rsidRDefault="00F6610A" w:rsidP="005930DA">
      <w:pPr>
        <w:pStyle w:val="ListParagraph"/>
        <w:numPr>
          <w:ilvl w:val="2"/>
          <w:numId w:val="3"/>
        </w:numPr>
        <w:tabs>
          <w:tab w:val="left" w:pos="2106"/>
          <w:tab w:val="left" w:pos="2107"/>
        </w:tabs>
        <w:ind w:left="1984" w:hanging="425"/>
        <w:jc w:val="both"/>
        <w:rPr>
          <w:rFonts w:ascii="Arial" w:hAnsi="Arial" w:cs="Arial"/>
        </w:rPr>
      </w:pPr>
      <w:r w:rsidRPr="00D96EE0">
        <w:rPr>
          <w:rFonts w:ascii="Arial" w:hAnsi="Arial" w:cs="Arial"/>
        </w:rPr>
        <w:t>i</w:t>
      </w:r>
      <w:r w:rsidR="00D90F40" w:rsidRPr="00D96EE0">
        <w:rPr>
          <w:rFonts w:ascii="Arial" w:hAnsi="Arial" w:cs="Arial"/>
        </w:rPr>
        <w:t>nternal governance structures and the risk and control</w:t>
      </w:r>
      <w:r w:rsidR="00D90F40" w:rsidRPr="00D96EE0">
        <w:rPr>
          <w:rFonts w:ascii="Arial" w:hAnsi="Arial" w:cs="Arial"/>
          <w:spacing w:val="-12"/>
        </w:rPr>
        <w:t xml:space="preserve"> </w:t>
      </w:r>
      <w:r w:rsidR="00D90F40" w:rsidRPr="00D96EE0">
        <w:rPr>
          <w:rFonts w:ascii="Arial" w:hAnsi="Arial" w:cs="Arial"/>
        </w:rPr>
        <w:t>culture</w:t>
      </w:r>
      <w:r w:rsidR="009F015B" w:rsidRPr="00D96EE0">
        <w:rPr>
          <w:rFonts w:ascii="Arial" w:hAnsi="Arial" w:cs="Arial"/>
        </w:rPr>
        <w:t>;</w:t>
      </w:r>
    </w:p>
    <w:p w14:paraId="183014D4" w14:textId="77777777" w:rsidR="00D96EE0" w:rsidRDefault="00F6610A" w:rsidP="005930DA">
      <w:pPr>
        <w:pStyle w:val="ListParagraph"/>
        <w:numPr>
          <w:ilvl w:val="2"/>
          <w:numId w:val="3"/>
        </w:numPr>
        <w:tabs>
          <w:tab w:val="left" w:pos="2106"/>
          <w:tab w:val="left" w:pos="2107"/>
        </w:tabs>
        <w:ind w:left="1984" w:hanging="425"/>
        <w:jc w:val="both"/>
        <w:rPr>
          <w:rFonts w:ascii="Arial" w:hAnsi="Arial" w:cs="Arial"/>
        </w:rPr>
      </w:pPr>
      <w:r w:rsidRPr="00D96EE0">
        <w:rPr>
          <w:rFonts w:ascii="Arial" w:hAnsi="Arial" w:cs="Arial"/>
        </w:rPr>
        <w:t>s</w:t>
      </w:r>
      <w:r w:rsidR="00D90F40" w:rsidRPr="00D96EE0">
        <w:rPr>
          <w:rFonts w:ascii="Arial" w:hAnsi="Arial" w:cs="Arial"/>
        </w:rPr>
        <w:t>ignificant risk related themes arising out of the Control Action List;</w:t>
      </w:r>
      <w:r w:rsidR="00D90F40" w:rsidRPr="00D96EE0">
        <w:rPr>
          <w:rFonts w:ascii="Arial" w:hAnsi="Arial" w:cs="Arial"/>
          <w:spacing w:val="-22"/>
        </w:rPr>
        <w:t xml:space="preserve"> </w:t>
      </w:r>
      <w:r w:rsidR="00D90F40" w:rsidRPr="00D96EE0">
        <w:rPr>
          <w:rFonts w:ascii="Arial" w:hAnsi="Arial" w:cs="Arial"/>
        </w:rPr>
        <w:t>and</w:t>
      </w:r>
    </w:p>
    <w:p w14:paraId="284A6FC8" w14:textId="0353AC04" w:rsidR="00F10200" w:rsidRPr="0028311A" w:rsidRDefault="00CB0237" w:rsidP="005930DA">
      <w:pPr>
        <w:pStyle w:val="ListParagraph"/>
        <w:numPr>
          <w:ilvl w:val="2"/>
          <w:numId w:val="3"/>
        </w:numPr>
        <w:tabs>
          <w:tab w:val="left" w:pos="2106"/>
          <w:tab w:val="left" w:pos="2107"/>
        </w:tabs>
        <w:ind w:left="1984" w:hanging="425"/>
        <w:jc w:val="both"/>
        <w:rPr>
          <w:rFonts w:ascii="Arial" w:hAnsi="Arial" w:cs="Arial"/>
        </w:rPr>
      </w:pPr>
      <w:r w:rsidRPr="00D96EE0">
        <w:rPr>
          <w:rFonts w:ascii="Arial" w:hAnsi="Arial" w:cs="Arial"/>
        </w:rPr>
        <w:t>r</w:t>
      </w:r>
      <w:r w:rsidR="00D90F40" w:rsidRPr="00D96EE0">
        <w:rPr>
          <w:rFonts w:ascii="Arial" w:hAnsi="Arial" w:cs="Arial"/>
        </w:rPr>
        <w:t>eviewing</w:t>
      </w:r>
      <w:r w:rsidR="00D90F40" w:rsidRPr="00D96EE0">
        <w:rPr>
          <w:rFonts w:ascii="Arial" w:hAnsi="Arial" w:cs="Arial"/>
          <w:spacing w:val="12"/>
        </w:rPr>
        <w:t xml:space="preserve"> </w:t>
      </w:r>
      <w:r w:rsidR="00D90F40" w:rsidRPr="00D96EE0">
        <w:rPr>
          <w:rFonts w:ascii="Arial" w:hAnsi="Arial" w:cs="Arial"/>
        </w:rPr>
        <w:t>the</w:t>
      </w:r>
      <w:r w:rsidR="00D90F40" w:rsidRPr="00D96EE0">
        <w:rPr>
          <w:rFonts w:ascii="Arial" w:hAnsi="Arial" w:cs="Arial"/>
          <w:spacing w:val="13"/>
        </w:rPr>
        <w:t xml:space="preserve"> </w:t>
      </w:r>
      <w:r w:rsidR="00D90F40" w:rsidRPr="00D96EE0">
        <w:rPr>
          <w:rFonts w:ascii="Arial" w:hAnsi="Arial" w:cs="Arial"/>
        </w:rPr>
        <w:t>business’s</w:t>
      </w:r>
      <w:r w:rsidR="00D90F40" w:rsidRPr="00D96EE0">
        <w:rPr>
          <w:rFonts w:ascii="Arial" w:hAnsi="Arial" w:cs="Arial"/>
          <w:spacing w:val="13"/>
        </w:rPr>
        <w:t xml:space="preserve"> </w:t>
      </w:r>
      <w:r w:rsidR="00D90F40" w:rsidRPr="00D96EE0">
        <w:rPr>
          <w:rFonts w:ascii="Arial" w:hAnsi="Arial" w:cs="Arial"/>
        </w:rPr>
        <w:t>risk</w:t>
      </w:r>
      <w:r w:rsidR="00D90F40" w:rsidRPr="00D96EE0">
        <w:rPr>
          <w:rFonts w:ascii="Arial" w:hAnsi="Arial" w:cs="Arial"/>
          <w:spacing w:val="11"/>
        </w:rPr>
        <w:t xml:space="preserve"> </w:t>
      </w:r>
      <w:r w:rsidR="00D90F40" w:rsidRPr="00D96EE0">
        <w:rPr>
          <w:rFonts w:ascii="Arial" w:hAnsi="Arial" w:cs="Arial"/>
        </w:rPr>
        <w:t>and</w:t>
      </w:r>
      <w:r w:rsidR="00D90F40" w:rsidRPr="00D96EE0">
        <w:rPr>
          <w:rFonts w:ascii="Arial" w:hAnsi="Arial" w:cs="Arial"/>
          <w:spacing w:val="13"/>
        </w:rPr>
        <w:t xml:space="preserve"> </w:t>
      </w:r>
      <w:r w:rsidR="00D90F40" w:rsidRPr="00D96EE0">
        <w:rPr>
          <w:rFonts w:ascii="Arial" w:hAnsi="Arial" w:cs="Arial"/>
        </w:rPr>
        <w:t>control</w:t>
      </w:r>
      <w:r w:rsidR="00D90F40" w:rsidRPr="00D96EE0">
        <w:rPr>
          <w:rFonts w:ascii="Arial" w:hAnsi="Arial" w:cs="Arial"/>
          <w:spacing w:val="14"/>
        </w:rPr>
        <w:t xml:space="preserve"> </w:t>
      </w:r>
      <w:r w:rsidR="00D90F40" w:rsidRPr="00D96EE0">
        <w:rPr>
          <w:rFonts w:ascii="Arial" w:hAnsi="Arial" w:cs="Arial"/>
        </w:rPr>
        <w:t>risk</w:t>
      </w:r>
      <w:r w:rsidR="00D90F40" w:rsidRPr="00D96EE0">
        <w:rPr>
          <w:rFonts w:ascii="Arial" w:hAnsi="Arial" w:cs="Arial"/>
          <w:spacing w:val="11"/>
        </w:rPr>
        <w:t xml:space="preserve"> </w:t>
      </w:r>
      <w:r w:rsidR="00D90F40" w:rsidRPr="00D96EE0">
        <w:rPr>
          <w:rFonts w:ascii="Arial" w:hAnsi="Arial" w:cs="Arial"/>
        </w:rPr>
        <w:t>assessments</w:t>
      </w:r>
      <w:r w:rsidR="00D90F40" w:rsidRPr="00D96EE0">
        <w:rPr>
          <w:rFonts w:ascii="Arial" w:hAnsi="Arial" w:cs="Arial"/>
          <w:spacing w:val="13"/>
        </w:rPr>
        <w:t xml:space="preserve"> </w:t>
      </w:r>
      <w:r w:rsidR="00D90F40" w:rsidRPr="00D96EE0">
        <w:rPr>
          <w:rFonts w:ascii="Arial" w:hAnsi="Arial" w:cs="Arial"/>
        </w:rPr>
        <w:t>as</w:t>
      </w:r>
      <w:r w:rsidR="00D90F40" w:rsidRPr="00D96EE0">
        <w:rPr>
          <w:rFonts w:ascii="Arial" w:hAnsi="Arial" w:cs="Arial"/>
          <w:spacing w:val="14"/>
        </w:rPr>
        <w:t xml:space="preserve"> </w:t>
      </w:r>
      <w:r w:rsidR="00D90F40" w:rsidRPr="00D96EE0">
        <w:rPr>
          <w:rFonts w:ascii="Arial" w:hAnsi="Arial" w:cs="Arial"/>
        </w:rPr>
        <w:t>well</w:t>
      </w:r>
      <w:r w:rsidR="00D90F40" w:rsidRPr="00D96EE0">
        <w:rPr>
          <w:rFonts w:ascii="Arial" w:hAnsi="Arial" w:cs="Arial"/>
          <w:spacing w:val="13"/>
        </w:rPr>
        <w:t xml:space="preserve"> </w:t>
      </w:r>
      <w:r w:rsidR="00D90F40" w:rsidRPr="00D96EE0">
        <w:rPr>
          <w:rFonts w:ascii="Arial" w:hAnsi="Arial" w:cs="Arial"/>
        </w:rPr>
        <w:t>as</w:t>
      </w:r>
      <w:r w:rsidR="00D90F40" w:rsidRPr="00D96EE0">
        <w:rPr>
          <w:rFonts w:ascii="Arial" w:hAnsi="Arial" w:cs="Arial"/>
          <w:spacing w:val="11"/>
        </w:rPr>
        <w:t xml:space="preserve"> </w:t>
      </w:r>
      <w:r w:rsidR="00D90F40" w:rsidRPr="00D96EE0">
        <w:rPr>
          <w:rFonts w:ascii="Arial" w:hAnsi="Arial" w:cs="Arial"/>
        </w:rPr>
        <w:t>the</w:t>
      </w:r>
      <w:r w:rsidR="00D20D51">
        <w:rPr>
          <w:rFonts w:ascii="Arial" w:hAnsi="Arial" w:cs="Arial"/>
        </w:rPr>
        <w:t xml:space="preserve"> </w:t>
      </w:r>
      <w:r w:rsidR="00D90F40" w:rsidRPr="0028311A">
        <w:rPr>
          <w:rFonts w:ascii="Arial" w:hAnsi="Arial" w:cs="Arial"/>
        </w:rPr>
        <w:t>risk framework effectiveness.</w:t>
      </w:r>
    </w:p>
    <w:p w14:paraId="046F2269" w14:textId="77777777" w:rsidR="00026D2C" w:rsidRPr="00D96EE0" w:rsidRDefault="00026D2C" w:rsidP="00026D2C">
      <w:pPr>
        <w:pStyle w:val="ListParagraph"/>
        <w:tabs>
          <w:tab w:val="left" w:pos="2106"/>
          <w:tab w:val="left" w:pos="2107"/>
        </w:tabs>
        <w:spacing w:line="276" w:lineRule="auto"/>
        <w:ind w:left="2415" w:right="-42" w:firstLine="0"/>
        <w:rPr>
          <w:rFonts w:ascii="Arial" w:hAnsi="Arial" w:cs="Arial"/>
        </w:rPr>
      </w:pPr>
    </w:p>
    <w:p w14:paraId="4AAF050D" w14:textId="77777777" w:rsidR="00F10200" w:rsidRPr="00600E61" w:rsidRDefault="00D90F40" w:rsidP="005930DA">
      <w:pPr>
        <w:pStyle w:val="Heading1"/>
        <w:numPr>
          <w:ilvl w:val="1"/>
          <w:numId w:val="3"/>
        </w:numPr>
        <w:ind w:left="567" w:hanging="567"/>
        <w:rPr>
          <w:rFonts w:ascii="Arial" w:hAnsi="Arial" w:cs="Arial"/>
        </w:rPr>
      </w:pPr>
      <w:r w:rsidRPr="00600E61">
        <w:rPr>
          <w:rFonts w:ascii="Arial" w:hAnsi="Arial" w:cs="Arial"/>
        </w:rPr>
        <w:t>The Chief Risk Officer and Group Chief Compliance</w:t>
      </w:r>
      <w:r w:rsidRPr="00026D2C">
        <w:rPr>
          <w:rFonts w:ascii="Arial" w:hAnsi="Arial" w:cs="Arial"/>
        </w:rPr>
        <w:t xml:space="preserve"> </w:t>
      </w:r>
      <w:r w:rsidRPr="00600E61">
        <w:rPr>
          <w:rFonts w:ascii="Arial" w:hAnsi="Arial" w:cs="Arial"/>
        </w:rPr>
        <w:t>Officer</w:t>
      </w:r>
    </w:p>
    <w:p w14:paraId="3761A2CF" w14:textId="77777777" w:rsidR="00F10200" w:rsidRPr="00600E61" w:rsidRDefault="00F10200">
      <w:pPr>
        <w:pStyle w:val="BodyText"/>
        <w:rPr>
          <w:rFonts w:ascii="Arial" w:hAnsi="Arial" w:cs="Arial"/>
          <w:b/>
          <w:sz w:val="23"/>
        </w:rPr>
      </w:pPr>
    </w:p>
    <w:p w14:paraId="687D8748" w14:textId="77777777" w:rsidR="00F10200" w:rsidRPr="00600E61" w:rsidRDefault="00F10200">
      <w:pPr>
        <w:pStyle w:val="BodyText"/>
        <w:spacing w:before="2" w:after="1"/>
        <w:rPr>
          <w:rFonts w:ascii="Arial" w:hAnsi="Arial" w:cs="Arial"/>
          <w:sz w:val="19"/>
        </w:rPr>
      </w:pPr>
    </w:p>
    <w:tbl>
      <w:tblPr>
        <w:tblW w:w="9923" w:type="dxa"/>
        <w:tblInd w:w="567" w:type="dxa"/>
        <w:tblLayout w:type="fixed"/>
        <w:tblCellMar>
          <w:left w:w="0" w:type="dxa"/>
          <w:right w:w="0" w:type="dxa"/>
        </w:tblCellMar>
        <w:tblLook w:val="01E0" w:firstRow="1" w:lastRow="1" w:firstColumn="1" w:lastColumn="1" w:noHBand="0" w:noVBand="0"/>
      </w:tblPr>
      <w:tblGrid>
        <w:gridCol w:w="993"/>
        <w:gridCol w:w="8505"/>
        <w:gridCol w:w="425"/>
      </w:tblGrid>
      <w:tr w:rsidR="00B04695" w:rsidRPr="00600E61" w14:paraId="4646DEC5" w14:textId="77777777" w:rsidTr="00C0526D">
        <w:trPr>
          <w:trHeight w:val="270"/>
        </w:trPr>
        <w:tc>
          <w:tcPr>
            <w:tcW w:w="993" w:type="dxa"/>
          </w:tcPr>
          <w:p w14:paraId="7BEC7792" w14:textId="3A4427C2" w:rsidR="00B04695" w:rsidDel="00B04695" w:rsidRDefault="00C0526D" w:rsidP="00B04695">
            <w:pPr>
              <w:pStyle w:val="BodyText"/>
              <w:spacing w:before="1"/>
              <w:rPr>
                <w:rFonts w:ascii="Arial" w:hAnsi="Arial" w:cs="Arial"/>
              </w:rPr>
            </w:pPr>
            <w:r>
              <w:rPr>
                <w:rFonts w:ascii="Arial" w:hAnsi="Arial" w:cs="Arial"/>
              </w:rPr>
              <w:t>1</w:t>
            </w:r>
            <w:r w:rsidR="00B04695" w:rsidRPr="00600E61">
              <w:rPr>
                <w:rFonts w:ascii="Arial" w:hAnsi="Arial" w:cs="Arial"/>
              </w:rPr>
              <w:t>.10.1</w:t>
            </w:r>
            <w:r w:rsidR="00B04695">
              <w:rPr>
                <w:rFonts w:ascii="Arial" w:hAnsi="Arial" w:cs="Arial"/>
              </w:rPr>
              <w:t xml:space="preserve">  </w:t>
            </w:r>
          </w:p>
        </w:tc>
        <w:tc>
          <w:tcPr>
            <w:tcW w:w="8505" w:type="dxa"/>
          </w:tcPr>
          <w:p w14:paraId="0FC368A2" w14:textId="4355B907" w:rsidR="00B04695" w:rsidRPr="00600E61" w:rsidRDefault="00B04695" w:rsidP="00B04695">
            <w:pPr>
              <w:pStyle w:val="BodyText"/>
              <w:spacing w:before="1"/>
              <w:rPr>
                <w:rFonts w:ascii="Arial" w:hAnsi="Arial" w:cs="Arial"/>
              </w:rPr>
            </w:pPr>
            <w:r w:rsidRPr="00600E61">
              <w:rPr>
                <w:rFonts w:ascii="Arial" w:hAnsi="Arial" w:cs="Arial"/>
              </w:rPr>
              <w:t>The Committee shall</w:t>
            </w:r>
            <w:r>
              <w:rPr>
                <w:rFonts w:ascii="Arial" w:hAnsi="Arial" w:cs="Arial"/>
              </w:rPr>
              <w:t xml:space="preserve"> r</w:t>
            </w:r>
            <w:r w:rsidRPr="00600E61">
              <w:rPr>
                <w:rFonts w:ascii="Arial" w:hAnsi="Arial" w:cs="Arial"/>
              </w:rPr>
              <w:t>ecommend to the Board,</w:t>
            </w:r>
            <w:r w:rsidRPr="00600E61">
              <w:rPr>
                <w:rFonts w:ascii="Arial" w:hAnsi="Arial" w:cs="Arial"/>
                <w:spacing w:val="9"/>
              </w:rPr>
              <w:t xml:space="preserve"> </w:t>
            </w:r>
            <w:r w:rsidRPr="00600E61">
              <w:rPr>
                <w:rFonts w:ascii="Arial" w:hAnsi="Arial" w:cs="Arial"/>
              </w:rPr>
              <w:t>the appointment</w:t>
            </w:r>
            <w:r>
              <w:rPr>
                <w:rFonts w:ascii="Arial" w:hAnsi="Arial" w:cs="Arial"/>
              </w:rPr>
              <w:t xml:space="preserve"> </w:t>
            </w:r>
            <w:r w:rsidRPr="00600E61">
              <w:rPr>
                <w:rFonts w:ascii="Arial" w:hAnsi="Arial" w:cs="Arial"/>
              </w:rPr>
              <w:t>and, when</w:t>
            </w:r>
            <w:r>
              <w:rPr>
                <w:rFonts w:ascii="Arial" w:hAnsi="Arial" w:cs="Arial"/>
              </w:rPr>
              <w:t xml:space="preserve"> and </w:t>
            </w:r>
            <w:r w:rsidRPr="00600E61">
              <w:rPr>
                <w:rFonts w:ascii="Arial" w:hAnsi="Arial" w:cs="Arial"/>
              </w:rPr>
              <w:t>if</w:t>
            </w:r>
            <w:r>
              <w:rPr>
                <w:rFonts w:ascii="Arial" w:hAnsi="Arial" w:cs="Arial"/>
              </w:rPr>
              <w:t xml:space="preserve"> </w:t>
            </w:r>
            <w:r w:rsidRPr="00600E61">
              <w:rPr>
                <w:rFonts w:ascii="Arial" w:hAnsi="Arial" w:cs="Arial"/>
              </w:rPr>
              <w:t>appropriate, replacement of the Chief Risk Officer and/or the Group Chief Compliance Officer</w:t>
            </w:r>
            <w:r>
              <w:rPr>
                <w:rFonts w:ascii="Arial" w:hAnsi="Arial" w:cs="Arial"/>
              </w:rPr>
              <w:t>, taking into consideration the skills and qualifications required.</w:t>
            </w:r>
          </w:p>
          <w:p w14:paraId="32BBBD9C" w14:textId="5691C7F2" w:rsidR="00B04695" w:rsidRPr="00600E61" w:rsidRDefault="00B04695" w:rsidP="005930DA">
            <w:pPr>
              <w:pStyle w:val="TableParagraph"/>
              <w:tabs>
                <w:tab w:val="left" w:pos="1068"/>
              </w:tabs>
              <w:spacing w:before="0"/>
              <w:ind w:left="200" w:right="141" w:firstLine="648"/>
              <w:jc w:val="both"/>
              <w:rPr>
                <w:rFonts w:ascii="Arial" w:hAnsi="Arial" w:cs="Arial"/>
              </w:rPr>
            </w:pPr>
          </w:p>
        </w:tc>
        <w:tc>
          <w:tcPr>
            <w:tcW w:w="425" w:type="dxa"/>
          </w:tcPr>
          <w:p w14:paraId="6765C517" w14:textId="63B61584" w:rsidR="00B04695" w:rsidRPr="00600E61" w:rsidRDefault="00B04695" w:rsidP="005930DA">
            <w:pPr>
              <w:pStyle w:val="TableParagraph"/>
              <w:tabs>
                <w:tab w:val="left" w:pos="4394"/>
              </w:tabs>
              <w:spacing w:before="0"/>
              <w:ind w:left="106"/>
              <w:jc w:val="both"/>
              <w:rPr>
                <w:rFonts w:ascii="Arial" w:hAnsi="Arial" w:cs="Arial"/>
                <w:b/>
              </w:rPr>
            </w:pPr>
          </w:p>
        </w:tc>
      </w:tr>
      <w:tr w:rsidR="00B04695" w:rsidRPr="00600E61" w14:paraId="02B14DC7" w14:textId="77777777" w:rsidTr="00C0526D">
        <w:trPr>
          <w:trHeight w:val="270"/>
        </w:trPr>
        <w:tc>
          <w:tcPr>
            <w:tcW w:w="993" w:type="dxa"/>
          </w:tcPr>
          <w:p w14:paraId="4E5020D3" w14:textId="32D8BB19" w:rsidR="00B04695" w:rsidRDefault="00B04695" w:rsidP="005930DA">
            <w:pPr>
              <w:pStyle w:val="BodyText"/>
              <w:ind w:left="990" w:right="141" w:hanging="990"/>
              <w:jc w:val="both"/>
              <w:rPr>
                <w:rFonts w:ascii="Arial" w:hAnsi="Arial" w:cs="Arial"/>
              </w:rPr>
            </w:pPr>
          </w:p>
        </w:tc>
        <w:tc>
          <w:tcPr>
            <w:tcW w:w="8505" w:type="dxa"/>
          </w:tcPr>
          <w:p w14:paraId="778A4C26" w14:textId="56EABDF8" w:rsidR="00B04695" w:rsidRDefault="00B04695" w:rsidP="00B04695">
            <w:pPr>
              <w:pStyle w:val="BodyText"/>
              <w:ind w:right="141" w:hanging="2"/>
              <w:rPr>
                <w:rFonts w:ascii="Arial" w:hAnsi="Arial" w:cs="Arial"/>
              </w:rPr>
            </w:pPr>
            <w:r>
              <w:rPr>
                <w:rFonts w:ascii="Arial" w:hAnsi="Arial" w:cs="Arial"/>
              </w:rPr>
              <w:t xml:space="preserve">The Committee Chair shall contribute to the annual performance review </w:t>
            </w:r>
            <w:r w:rsidRPr="00600E61">
              <w:rPr>
                <w:rFonts w:ascii="Arial" w:hAnsi="Arial" w:cs="Arial"/>
              </w:rPr>
              <w:t>of the Chief Risk Officer</w:t>
            </w:r>
            <w:r>
              <w:rPr>
                <w:rFonts w:ascii="Arial" w:hAnsi="Arial" w:cs="Arial"/>
              </w:rPr>
              <w:t xml:space="preserve"> during year-end considerations</w:t>
            </w:r>
            <w:r w:rsidR="00B97A36">
              <w:rPr>
                <w:rFonts w:ascii="Arial" w:hAnsi="Arial" w:cs="Arial"/>
              </w:rPr>
              <w:t>.</w:t>
            </w:r>
          </w:p>
          <w:p w14:paraId="5DB999B8" w14:textId="373F257D" w:rsidR="00B04695" w:rsidRDefault="00B04695" w:rsidP="00B04695">
            <w:pPr>
              <w:pStyle w:val="BodyText"/>
              <w:ind w:right="141" w:hanging="2"/>
              <w:rPr>
                <w:rFonts w:ascii="Arial" w:hAnsi="Arial" w:cs="Arial"/>
              </w:rPr>
            </w:pPr>
          </w:p>
          <w:p w14:paraId="3822D9F4" w14:textId="0F98386E" w:rsidR="00B04695" w:rsidRPr="00600E61" w:rsidRDefault="00B04695" w:rsidP="00B04695">
            <w:pPr>
              <w:pStyle w:val="BodyText"/>
              <w:ind w:right="141" w:hanging="2"/>
              <w:rPr>
                <w:rFonts w:ascii="Arial" w:hAnsi="Arial" w:cs="Arial"/>
              </w:rPr>
            </w:pPr>
          </w:p>
        </w:tc>
        <w:tc>
          <w:tcPr>
            <w:tcW w:w="425" w:type="dxa"/>
          </w:tcPr>
          <w:p w14:paraId="2C1026E8" w14:textId="0686C13E" w:rsidR="00B04695" w:rsidRPr="005930DA" w:rsidRDefault="00B04695" w:rsidP="005930DA">
            <w:pPr>
              <w:pStyle w:val="TableParagraph"/>
              <w:tabs>
                <w:tab w:val="left" w:pos="4394"/>
              </w:tabs>
              <w:spacing w:before="0"/>
              <w:ind w:left="106"/>
              <w:jc w:val="both"/>
              <w:rPr>
                <w:rFonts w:ascii="Arial" w:hAnsi="Arial" w:cs="Arial"/>
                <w:b/>
                <w:bCs/>
              </w:rPr>
            </w:pPr>
          </w:p>
        </w:tc>
      </w:tr>
      <w:tr w:rsidR="00B04695" w:rsidRPr="00600E61" w14:paraId="5398CB31" w14:textId="77777777" w:rsidTr="00C0526D">
        <w:trPr>
          <w:trHeight w:val="270"/>
        </w:trPr>
        <w:tc>
          <w:tcPr>
            <w:tcW w:w="993" w:type="dxa"/>
          </w:tcPr>
          <w:p w14:paraId="2A7DE18E" w14:textId="5119DFE5" w:rsidR="00B04695" w:rsidRPr="00600E61" w:rsidRDefault="00C0526D" w:rsidP="005930DA">
            <w:pPr>
              <w:pStyle w:val="BodyText"/>
              <w:ind w:left="990" w:right="141" w:hanging="990"/>
              <w:jc w:val="both"/>
              <w:rPr>
                <w:rFonts w:ascii="Arial" w:hAnsi="Arial" w:cs="Arial"/>
              </w:rPr>
            </w:pPr>
            <w:r>
              <w:rPr>
                <w:rFonts w:ascii="Arial" w:hAnsi="Arial" w:cs="Arial"/>
              </w:rPr>
              <w:t>1</w:t>
            </w:r>
            <w:r w:rsidR="00B04695">
              <w:rPr>
                <w:rFonts w:ascii="Arial" w:hAnsi="Arial" w:cs="Arial"/>
              </w:rPr>
              <w:t>.10.</w:t>
            </w:r>
            <w:r>
              <w:rPr>
                <w:rFonts w:ascii="Arial" w:hAnsi="Arial" w:cs="Arial"/>
              </w:rPr>
              <w:t>2</w:t>
            </w:r>
          </w:p>
        </w:tc>
        <w:tc>
          <w:tcPr>
            <w:tcW w:w="8505" w:type="dxa"/>
          </w:tcPr>
          <w:p w14:paraId="3A42E159" w14:textId="15B61FC1" w:rsidR="00B04695" w:rsidRDefault="00B04695" w:rsidP="00B04695">
            <w:pPr>
              <w:pStyle w:val="BodyText"/>
              <w:ind w:right="141" w:hanging="2"/>
              <w:rPr>
                <w:rFonts w:ascii="Arial" w:hAnsi="Arial" w:cs="Arial"/>
              </w:rPr>
            </w:pPr>
            <w:r w:rsidRPr="00B04695">
              <w:rPr>
                <w:rFonts w:ascii="Arial" w:hAnsi="Arial" w:cs="Arial"/>
              </w:rPr>
              <w:t>The Chief Risk Officer shall meet regularly with the Committee Chair and will have the right and responsibility to elevate issues, including that of a Compliance nature, when considered necessary.</w:t>
            </w:r>
          </w:p>
        </w:tc>
        <w:tc>
          <w:tcPr>
            <w:tcW w:w="425" w:type="dxa"/>
          </w:tcPr>
          <w:p w14:paraId="32CBE83A" w14:textId="77777777" w:rsidR="00B04695" w:rsidRPr="005930DA" w:rsidRDefault="00B04695" w:rsidP="005930DA">
            <w:pPr>
              <w:pStyle w:val="TableParagraph"/>
              <w:tabs>
                <w:tab w:val="left" w:pos="4394"/>
              </w:tabs>
              <w:spacing w:before="0"/>
              <w:ind w:left="106"/>
              <w:jc w:val="both"/>
              <w:rPr>
                <w:rFonts w:ascii="Arial" w:hAnsi="Arial" w:cs="Arial"/>
                <w:b/>
                <w:bCs/>
              </w:rPr>
            </w:pPr>
          </w:p>
        </w:tc>
      </w:tr>
    </w:tbl>
    <w:p w14:paraId="61C5113C" w14:textId="51A29470" w:rsidR="00F70729" w:rsidRPr="005B6661" w:rsidRDefault="00CB0237" w:rsidP="00341FF1">
      <w:pPr>
        <w:pStyle w:val="TableParagraph"/>
        <w:tabs>
          <w:tab w:val="left" w:pos="1068"/>
        </w:tabs>
        <w:spacing w:line="250" w:lineRule="exact"/>
        <w:ind w:left="1842" w:right="471" w:hanging="1644"/>
        <w:rPr>
          <w:rFonts w:ascii="Arial" w:hAnsi="Arial" w:cs="Arial"/>
        </w:rPr>
      </w:pPr>
      <w:r w:rsidRPr="00600E61">
        <w:rPr>
          <w:rFonts w:ascii="Arial" w:hAnsi="Arial" w:cs="Arial"/>
        </w:rPr>
        <w:t xml:space="preserve">            </w:t>
      </w:r>
    </w:p>
    <w:p w14:paraId="78250572" w14:textId="24002C1A" w:rsidR="00F10200" w:rsidRPr="00600E61" w:rsidRDefault="00D90F40" w:rsidP="005930DA">
      <w:pPr>
        <w:pStyle w:val="Heading1"/>
        <w:numPr>
          <w:ilvl w:val="0"/>
          <w:numId w:val="3"/>
        </w:numPr>
        <w:ind w:left="567" w:hanging="567"/>
        <w:jc w:val="both"/>
        <w:rPr>
          <w:rFonts w:ascii="Arial" w:hAnsi="Arial" w:cs="Arial"/>
        </w:rPr>
      </w:pPr>
      <w:r w:rsidRPr="00600E61">
        <w:rPr>
          <w:rFonts w:ascii="Arial" w:hAnsi="Arial" w:cs="Arial"/>
        </w:rPr>
        <w:t>Membership</w:t>
      </w:r>
    </w:p>
    <w:p w14:paraId="3F4ECFD7" w14:textId="77777777" w:rsidR="00F10200" w:rsidRPr="00600E61" w:rsidRDefault="00F10200" w:rsidP="005930DA">
      <w:pPr>
        <w:pStyle w:val="BodyText"/>
        <w:ind w:left="567" w:hanging="567"/>
        <w:jc w:val="both"/>
        <w:rPr>
          <w:rFonts w:ascii="Arial" w:hAnsi="Arial" w:cs="Arial"/>
          <w:b/>
        </w:rPr>
      </w:pPr>
    </w:p>
    <w:p w14:paraId="43A3E044" w14:textId="2C6768FA" w:rsidR="00D83A0F" w:rsidRDefault="00D90F40" w:rsidP="00C0526D">
      <w:pPr>
        <w:pStyle w:val="ListParagraph"/>
        <w:numPr>
          <w:ilvl w:val="1"/>
          <w:numId w:val="3"/>
        </w:numPr>
        <w:tabs>
          <w:tab w:val="left" w:pos="567"/>
        </w:tabs>
        <w:ind w:left="567" w:hanging="567"/>
        <w:jc w:val="both"/>
        <w:rPr>
          <w:rFonts w:ascii="Arial" w:hAnsi="Arial" w:cs="Arial"/>
        </w:rPr>
      </w:pPr>
      <w:r w:rsidRPr="00600E61">
        <w:rPr>
          <w:rFonts w:ascii="Arial" w:hAnsi="Arial" w:cs="Arial"/>
        </w:rPr>
        <w:t>Members of the Committee shall be appointed by the Board, on the recommendation</w:t>
      </w:r>
      <w:r w:rsidRPr="00600E61">
        <w:rPr>
          <w:rFonts w:ascii="Arial" w:hAnsi="Arial" w:cs="Arial"/>
          <w:spacing w:val="-8"/>
        </w:rPr>
        <w:t xml:space="preserve"> </w:t>
      </w:r>
      <w:r w:rsidRPr="00600E61">
        <w:rPr>
          <w:rFonts w:ascii="Arial" w:hAnsi="Arial" w:cs="Arial"/>
        </w:rPr>
        <w:t>of</w:t>
      </w:r>
      <w:r w:rsidRPr="00600E61">
        <w:rPr>
          <w:rFonts w:ascii="Arial" w:hAnsi="Arial" w:cs="Arial"/>
          <w:spacing w:val="-7"/>
        </w:rPr>
        <w:t xml:space="preserve"> </w:t>
      </w:r>
      <w:r w:rsidRPr="00600E61">
        <w:rPr>
          <w:rFonts w:ascii="Arial" w:hAnsi="Arial" w:cs="Arial"/>
        </w:rPr>
        <w:t>the</w:t>
      </w:r>
      <w:r w:rsidRPr="00600E61">
        <w:rPr>
          <w:rFonts w:ascii="Arial" w:hAnsi="Arial" w:cs="Arial"/>
          <w:spacing w:val="-6"/>
        </w:rPr>
        <w:t xml:space="preserve"> </w:t>
      </w:r>
      <w:r w:rsidRPr="00600E61">
        <w:rPr>
          <w:rFonts w:ascii="Arial" w:hAnsi="Arial" w:cs="Arial"/>
        </w:rPr>
        <w:t>Nomination</w:t>
      </w:r>
      <w:r w:rsidRPr="00600E61">
        <w:rPr>
          <w:rFonts w:ascii="Arial" w:hAnsi="Arial" w:cs="Arial"/>
          <w:spacing w:val="-7"/>
        </w:rPr>
        <w:t xml:space="preserve"> </w:t>
      </w:r>
      <w:r w:rsidRPr="00600E61">
        <w:rPr>
          <w:rFonts w:ascii="Arial" w:hAnsi="Arial" w:cs="Arial"/>
        </w:rPr>
        <w:t>Committee</w:t>
      </w:r>
      <w:r w:rsidRPr="00600E61">
        <w:rPr>
          <w:rFonts w:ascii="Arial" w:hAnsi="Arial" w:cs="Arial"/>
          <w:spacing w:val="-6"/>
        </w:rPr>
        <w:t xml:space="preserve"> </w:t>
      </w:r>
      <w:r w:rsidRPr="00600E61">
        <w:rPr>
          <w:rFonts w:ascii="Arial" w:hAnsi="Arial" w:cs="Arial"/>
        </w:rPr>
        <w:t>in</w:t>
      </w:r>
      <w:r w:rsidRPr="00600E61">
        <w:rPr>
          <w:rFonts w:ascii="Arial" w:hAnsi="Arial" w:cs="Arial"/>
          <w:spacing w:val="-6"/>
        </w:rPr>
        <w:t xml:space="preserve"> </w:t>
      </w:r>
      <w:r w:rsidRPr="00600E61">
        <w:rPr>
          <w:rFonts w:ascii="Arial" w:hAnsi="Arial" w:cs="Arial"/>
        </w:rPr>
        <w:t>consultation</w:t>
      </w:r>
      <w:r w:rsidRPr="00600E61">
        <w:rPr>
          <w:rFonts w:ascii="Arial" w:hAnsi="Arial" w:cs="Arial"/>
          <w:spacing w:val="-8"/>
        </w:rPr>
        <w:t xml:space="preserve"> </w:t>
      </w:r>
      <w:r w:rsidRPr="00600E61">
        <w:rPr>
          <w:rFonts w:ascii="Arial" w:hAnsi="Arial" w:cs="Arial"/>
        </w:rPr>
        <w:t>with</w:t>
      </w:r>
      <w:r w:rsidRPr="00600E61">
        <w:rPr>
          <w:rFonts w:ascii="Arial" w:hAnsi="Arial" w:cs="Arial"/>
          <w:spacing w:val="-7"/>
        </w:rPr>
        <w:t xml:space="preserve"> </w:t>
      </w:r>
      <w:r w:rsidRPr="00600E61">
        <w:rPr>
          <w:rFonts w:ascii="Arial" w:hAnsi="Arial" w:cs="Arial"/>
        </w:rPr>
        <w:t>the</w:t>
      </w:r>
      <w:r w:rsidRPr="00600E61">
        <w:rPr>
          <w:rFonts w:ascii="Arial" w:hAnsi="Arial" w:cs="Arial"/>
          <w:spacing w:val="-6"/>
        </w:rPr>
        <w:t xml:space="preserve"> </w:t>
      </w:r>
      <w:r w:rsidRPr="00600E61">
        <w:rPr>
          <w:rFonts w:ascii="Arial" w:hAnsi="Arial" w:cs="Arial"/>
        </w:rPr>
        <w:t>Committee Chair.</w:t>
      </w:r>
    </w:p>
    <w:p w14:paraId="1374E5C9" w14:textId="77777777" w:rsidR="00D83A0F" w:rsidRDefault="00D83A0F" w:rsidP="005930DA">
      <w:pPr>
        <w:pStyle w:val="ListParagraph"/>
        <w:tabs>
          <w:tab w:val="left" w:pos="567"/>
        </w:tabs>
        <w:ind w:left="567" w:hanging="567"/>
        <w:jc w:val="both"/>
        <w:rPr>
          <w:rFonts w:ascii="Arial" w:hAnsi="Arial" w:cs="Arial"/>
        </w:rPr>
      </w:pPr>
    </w:p>
    <w:p w14:paraId="1455BA5D" w14:textId="664A4E87" w:rsidR="00D83A0F" w:rsidRDefault="00D90F40" w:rsidP="00C0526D">
      <w:pPr>
        <w:pStyle w:val="ListParagraph"/>
        <w:numPr>
          <w:ilvl w:val="1"/>
          <w:numId w:val="3"/>
        </w:numPr>
        <w:tabs>
          <w:tab w:val="left" w:pos="567"/>
        </w:tabs>
        <w:ind w:left="567" w:hanging="567"/>
        <w:jc w:val="both"/>
        <w:rPr>
          <w:rFonts w:ascii="Arial" w:hAnsi="Arial" w:cs="Arial"/>
        </w:rPr>
      </w:pPr>
      <w:r w:rsidRPr="00D83A0F">
        <w:rPr>
          <w:rFonts w:ascii="Arial" w:hAnsi="Arial" w:cs="Arial"/>
        </w:rPr>
        <w:t>The Committee shall be made up of at least three members</w:t>
      </w:r>
      <w:r w:rsidR="007D0AEB">
        <w:rPr>
          <w:rFonts w:ascii="Arial" w:hAnsi="Arial" w:cs="Arial"/>
        </w:rPr>
        <w:t>, the majority of whom</w:t>
      </w:r>
      <w:r w:rsidRPr="00D83A0F">
        <w:rPr>
          <w:rFonts w:ascii="Arial" w:hAnsi="Arial" w:cs="Arial"/>
          <w:spacing w:val="-8"/>
        </w:rPr>
        <w:t xml:space="preserve"> </w:t>
      </w:r>
      <w:r w:rsidRPr="00D83A0F">
        <w:rPr>
          <w:rFonts w:ascii="Arial" w:hAnsi="Arial" w:cs="Arial"/>
        </w:rPr>
        <w:t>shall</w:t>
      </w:r>
      <w:r w:rsidRPr="00D83A0F">
        <w:rPr>
          <w:rFonts w:ascii="Arial" w:hAnsi="Arial" w:cs="Arial"/>
          <w:spacing w:val="-7"/>
        </w:rPr>
        <w:t xml:space="preserve"> </w:t>
      </w:r>
      <w:r w:rsidRPr="00D83A0F">
        <w:rPr>
          <w:rFonts w:ascii="Arial" w:hAnsi="Arial" w:cs="Arial"/>
        </w:rPr>
        <w:t>be</w:t>
      </w:r>
      <w:r w:rsidRPr="00D83A0F">
        <w:rPr>
          <w:rFonts w:ascii="Arial" w:hAnsi="Arial" w:cs="Arial"/>
          <w:spacing w:val="-7"/>
        </w:rPr>
        <w:t xml:space="preserve"> </w:t>
      </w:r>
      <w:r w:rsidRPr="00D83A0F">
        <w:rPr>
          <w:rFonts w:ascii="Arial" w:hAnsi="Arial" w:cs="Arial"/>
        </w:rPr>
        <w:t>independent</w:t>
      </w:r>
      <w:r w:rsidRPr="00D83A0F">
        <w:rPr>
          <w:rFonts w:ascii="Arial" w:hAnsi="Arial" w:cs="Arial"/>
          <w:spacing w:val="-8"/>
        </w:rPr>
        <w:t xml:space="preserve"> </w:t>
      </w:r>
      <w:r w:rsidR="005170DA">
        <w:rPr>
          <w:rFonts w:ascii="Arial" w:hAnsi="Arial" w:cs="Arial"/>
        </w:rPr>
        <w:t>N</w:t>
      </w:r>
      <w:r w:rsidRPr="00D83A0F">
        <w:rPr>
          <w:rFonts w:ascii="Arial" w:hAnsi="Arial" w:cs="Arial"/>
        </w:rPr>
        <w:t>on-</w:t>
      </w:r>
      <w:r w:rsidR="005170DA">
        <w:rPr>
          <w:rFonts w:ascii="Arial" w:hAnsi="Arial" w:cs="Arial"/>
        </w:rPr>
        <w:t>E</w:t>
      </w:r>
      <w:r w:rsidRPr="00D83A0F">
        <w:rPr>
          <w:rFonts w:ascii="Arial" w:hAnsi="Arial" w:cs="Arial"/>
        </w:rPr>
        <w:t>xecutive</w:t>
      </w:r>
      <w:r w:rsidRPr="00D83A0F">
        <w:rPr>
          <w:rFonts w:ascii="Arial" w:hAnsi="Arial" w:cs="Arial"/>
          <w:spacing w:val="-8"/>
        </w:rPr>
        <w:t xml:space="preserve"> </w:t>
      </w:r>
      <w:r w:rsidR="005170DA">
        <w:rPr>
          <w:rFonts w:ascii="Arial" w:hAnsi="Arial" w:cs="Arial"/>
        </w:rPr>
        <w:t>D</w:t>
      </w:r>
      <w:r w:rsidRPr="00D83A0F">
        <w:rPr>
          <w:rFonts w:ascii="Arial" w:hAnsi="Arial" w:cs="Arial"/>
        </w:rPr>
        <w:t>irectors</w:t>
      </w:r>
      <w:r w:rsidRPr="00D83A0F">
        <w:rPr>
          <w:rFonts w:ascii="Arial" w:hAnsi="Arial" w:cs="Arial"/>
          <w:spacing w:val="-5"/>
        </w:rPr>
        <w:t xml:space="preserve"> </w:t>
      </w:r>
      <w:r w:rsidRPr="00D83A0F">
        <w:rPr>
          <w:rFonts w:ascii="Arial" w:hAnsi="Arial" w:cs="Arial"/>
        </w:rPr>
        <w:t>and</w:t>
      </w:r>
      <w:r w:rsidRPr="00D83A0F">
        <w:rPr>
          <w:rFonts w:ascii="Arial" w:hAnsi="Arial" w:cs="Arial"/>
          <w:spacing w:val="-8"/>
        </w:rPr>
        <w:t xml:space="preserve"> </w:t>
      </w:r>
      <w:r w:rsidRPr="00D83A0F">
        <w:rPr>
          <w:rFonts w:ascii="Arial" w:hAnsi="Arial" w:cs="Arial"/>
        </w:rPr>
        <w:t>the</w:t>
      </w:r>
      <w:r w:rsidRPr="00D83A0F">
        <w:rPr>
          <w:rFonts w:ascii="Arial" w:hAnsi="Arial" w:cs="Arial"/>
          <w:spacing w:val="-8"/>
        </w:rPr>
        <w:t xml:space="preserve"> </w:t>
      </w:r>
      <w:r w:rsidRPr="00D83A0F">
        <w:rPr>
          <w:rFonts w:ascii="Arial" w:hAnsi="Arial" w:cs="Arial"/>
        </w:rPr>
        <w:t>Committee</w:t>
      </w:r>
      <w:r w:rsidR="005170DA">
        <w:rPr>
          <w:rFonts w:ascii="Arial" w:hAnsi="Arial" w:cs="Arial"/>
        </w:rPr>
        <w:t xml:space="preserve"> as a whole</w:t>
      </w:r>
      <w:r w:rsidRPr="00D83A0F">
        <w:rPr>
          <w:rFonts w:ascii="Arial" w:hAnsi="Arial" w:cs="Arial"/>
        </w:rPr>
        <w:t xml:space="preserve"> </w:t>
      </w:r>
      <w:r w:rsidR="007D0AEB">
        <w:rPr>
          <w:rFonts w:ascii="Arial" w:hAnsi="Arial" w:cs="Arial"/>
        </w:rPr>
        <w:t xml:space="preserve">should have </w:t>
      </w:r>
      <w:r w:rsidR="005170DA">
        <w:rPr>
          <w:rFonts w:ascii="Arial" w:hAnsi="Arial" w:cs="Arial"/>
        </w:rPr>
        <w:t xml:space="preserve">the </w:t>
      </w:r>
      <w:r w:rsidR="005170DA">
        <w:rPr>
          <w:rFonts w:ascii="Arial" w:hAnsi="Arial" w:cs="Arial"/>
        </w:rPr>
        <w:lastRenderedPageBreak/>
        <w:t>appropriate knowledge, skills and expertise to fully understand risk appetite and strategy.</w:t>
      </w:r>
      <w:r w:rsidRPr="00D83A0F">
        <w:rPr>
          <w:rFonts w:ascii="Arial" w:hAnsi="Arial" w:cs="Arial"/>
        </w:rPr>
        <w:t xml:space="preserve"> The Chair of the Board shall not be a member of the</w:t>
      </w:r>
      <w:r w:rsidRPr="00D83A0F">
        <w:rPr>
          <w:rFonts w:ascii="Arial" w:hAnsi="Arial" w:cs="Arial"/>
          <w:spacing w:val="-20"/>
        </w:rPr>
        <w:t xml:space="preserve"> </w:t>
      </w:r>
      <w:r w:rsidRPr="00D83A0F">
        <w:rPr>
          <w:rFonts w:ascii="Arial" w:hAnsi="Arial" w:cs="Arial"/>
        </w:rPr>
        <w:t>Committee.</w:t>
      </w:r>
    </w:p>
    <w:p w14:paraId="7CE44D82" w14:textId="77777777" w:rsidR="007D0AEB" w:rsidRDefault="007D0AEB" w:rsidP="007D0AEB">
      <w:pPr>
        <w:pStyle w:val="ListParagraph"/>
        <w:rPr>
          <w:rFonts w:ascii="Arial" w:hAnsi="Arial" w:cs="Arial"/>
        </w:rPr>
      </w:pPr>
    </w:p>
    <w:p w14:paraId="70195E92" w14:textId="4BB373DF" w:rsidR="00D83A0F" w:rsidRDefault="00D90F40" w:rsidP="00C0526D">
      <w:pPr>
        <w:pStyle w:val="ListParagraph"/>
        <w:numPr>
          <w:ilvl w:val="1"/>
          <w:numId w:val="3"/>
        </w:numPr>
        <w:tabs>
          <w:tab w:val="left" w:pos="567"/>
        </w:tabs>
        <w:ind w:left="567" w:hanging="567"/>
        <w:jc w:val="both"/>
        <w:rPr>
          <w:rFonts w:ascii="Arial" w:hAnsi="Arial" w:cs="Arial"/>
        </w:rPr>
      </w:pPr>
      <w:r w:rsidRPr="00D83A0F">
        <w:rPr>
          <w:rFonts w:ascii="Arial" w:hAnsi="Arial" w:cs="Arial"/>
        </w:rPr>
        <w:t>Only members of the Committee have the right to attend Committee meetings. However, other individuals</w:t>
      </w:r>
      <w:r w:rsidR="007D0AEB">
        <w:rPr>
          <w:rFonts w:ascii="Arial" w:hAnsi="Arial" w:cs="Arial"/>
        </w:rPr>
        <w:t>, including</w:t>
      </w:r>
      <w:r w:rsidRPr="00D83A0F">
        <w:rPr>
          <w:rFonts w:ascii="Arial" w:hAnsi="Arial" w:cs="Arial"/>
        </w:rPr>
        <w:t xml:space="preserve"> the Chair of the Board, Chief Executive Officer, other </w:t>
      </w:r>
      <w:r w:rsidR="00084E11">
        <w:rPr>
          <w:rFonts w:ascii="Arial" w:hAnsi="Arial" w:cs="Arial"/>
        </w:rPr>
        <w:t>D</w:t>
      </w:r>
      <w:r w:rsidRPr="00D83A0F">
        <w:rPr>
          <w:rFonts w:ascii="Arial" w:hAnsi="Arial" w:cs="Arial"/>
        </w:rPr>
        <w:t xml:space="preserve">irectors, Chief Risk Officer, the Group Chief Compliance Officer, the Global Head of Internal Audit or any employee of the </w:t>
      </w:r>
      <w:r w:rsidR="00084E11">
        <w:rPr>
          <w:rFonts w:ascii="Arial" w:hAnsi="Arial" w:cs="Arial"/>
        </w:rPr>
        <w:t>G</w:t>
      </w:r>
      <w:r w:rsidRPr="00D83A0F">
        <w:rPr>
          <w:rFonts w:ascii="Arial" w:hAnsi="Arial" w:cs="Arial"/>
        </w:rPr>
        <w:t>roup and external advisers may be invited to attend all or part of any meeting as and when</w:t>
      </w:r>
      <w:r w:rsidRPr="00D83A0F">
        <w:rPr>
          <w:rFonts w:ascii="Arial" w:hAnsi="Arial" w:cs="Arial"/>
          <w:spacing w:val="-29"/>
        </w:rPr>
        <w:t xml:space="preserve"> </w:t>
      </w:r>
      <w:r w:rsidRPr="00D83A0F">
        <w:rPr>
          <w:rFonts w:ascii="Arial" w:hAnsi="Arial" w:cs="Arial"/>
        </w:rPr>
        <w:t>appropriate.</w:t>
      </w:r>
    </w:p>
    <w:p w14:paraId="184DFA0F" w14:textId="77777777" w:rsidR="00D83A0F" w:rsidRPr="00D83A0F" w:rsidRDefault="00D83A0F" w:rsidP="005930DA">
      <w:pPr>
        <w:pStyle w:val="ListParagraph"/>
        <w:tabs>
          <w:tab w:val="left" w:pos="709"/>
        </w:tabs>
        <w:ind w:left="567" w:hanging="567"/>
        <w:jc w:val="both"/>
        <w:rPr>
          <w:rFonts w:ascii="Arial" w:hAnsi="Arial" w:cs="Arial"/>
        </w:rPr>
      </w:pPr>
    </w:p>
    <w:p w14:paraId="353EB142" w14:textId="02E7770F" w:rsidR="00D83A0F" w:rsidRDefault="00D90F40" w:rsidP="00C0526D">
      <w:pPr>
        <w:pStyle w:val="ListParagraph"/>
        <w:numPr>
          <w:ilvl w:val="1"/>
          <w:numId w:val="3"/>
        </w:numPr>
        <w:tabs>
          <w:tab w:val="left" w:pos="567"/>
        </w:tabs>
        <w:ind w:left="567" w:hanging="567"/>
        <w:jc w:val="both"/>
        <w:rPr>
          <w:rFonts w:ascii="Arial" w:hAnsi="Arial" w:cs="Arial"/>
        </w:rPr>
      </w:pPr>
      <w:r w:rsidRPr="00D83A0F">
        <w:rPr>
          <w:rFonts w:ascii="Arial" w:hAnsi="Arial" w:cs="Arial"/>
        </w:rPr>
        <w:t>The</w:t>
      </w:r>
      <w:r w:rsidRPr="00D83A0F">
        <w:rPr>
          <w:rFonts w:ascii="Arial" w:hAnsi="Arial" w:cs="Arial"/>
          <w:spacing w:val="-15"/>
        </w:rPr>
        <w:t xml:space="preserve"> </w:t>
      </w:r>
      <w:r w:rsidRPr="00D83A0F">
        <w:rPr>
          <w:rFonts w:ascii="Arial" w:hAnsi="Arial" w:cs="Arial"/>
        </w:rPr>
        <w:t>Board</w:t>
      </w:r>
      <w:r w:rsidRPr="00D83A0F">
        <w:rPr>
          <w:rFonts w:ascii="Arial" w:hAnsi="Arial" w:cs="Arial"/>
          <w:spacing w:val="-16"/>
        </w:rPr>
        <w:t xml:space="preserve"> </w:t>
      </w:r>
      <w:r w:rsidRPr="00D83A0F">
        <w:rPr>
          <w:rFonts w:ascii="Arial" w:hAnsi="Arial" w:cs="Arial"/>
        </w:rPr>
        <w:t>shall</w:t>
      </w:r>
      <w:r w:rsidRPr="00D83A0F">
        <w:rPr>
          <w:rFonts w:ascii="Arial" w:hAnsi="Arial" w:cs="Arial"/>
          <w:spacing w:val="-14"/>
        </w:rPr>
        <w:t xml:space="preserve"> </w:t>
      </w:r>
      <w:r w:rsidRPr="00D83A0F">
        <w:rPr>
          <w:rFonts w:ascii="Arial" w:hAnsi="Arial" w:cs="Arial"/>
        </w:rPr>
        <w:t>appoint</w:t>
      </w:r>
      <w:r w:rsidRPr="00D83A0F">
        <w:rPr>
          <w:rFonts w:ascii="Arial" w:hAnsi="Arial" w:cs="Arial"/>
          <w:spacing w:val="-19"/>
        </w:rPr>
        <w:t xml:space="preserve"> </w:t>
      </w:r>
      <w:r w:rsidRPr="00D83A0F">
        <w:rPr>
          <w:rFonts w:ascii="Arial" w:hAnsi="Arial" w:cs="Arial"/>
        </w:rPr>
        <w:t>the</w:t>
      </w:r>
      <w:r w:rsidRPr="00D83A0F">
        <w:rPr>
          <w:rFonts w:ascii="Arial" w:hAnsi="Arial" w:cs="Arial"/>
          <w:spacing w:val="-15"/>
        </w:rPr>
        <w:t xml:space="preserve"> </w:t>
      </w:r>
      <w:r w:rsidRPr="00D83A0F">
        <w:rPr>
          <w:rFonts w:ascii="Arial" w:hAnsi="Arial" w:cs="Arial"/>
        </w:rPr>
        <w:t>Committee</w:t>
      </w:r>
      <w:r w:rsidRPr="00D83A0F">
        <w:rPr>
          <w:rFonts w:ascii="Arial" w:hAnsi="Arial" w:cs="Arial"/>
          <w:spacing w:val="-14"/>
        </w:rPr>
        <w:t xml:space="preserve"> </w:t>
      </w:r>
      <w:r w:rsidRPr="00D83A0F">
        <w:rPr>
          <w:rFonts w:ascii="Arial" w:hAnsi="Arial" w:cs="Arial"/>
        </w:rPr>
        <w:t>Chair</w:t>
      </w:r>
      <w:r w:rsidRPr="00D83A0F">
        <w:rPr>
          <w:rFonts w:ascii="Arial" w:hAnsi="Arial" w:cs="Arial"/>
          <w:spacing w:val="-16"/>
        </w:rPr>
        <w:t xml:space="preserve"> </w:t>
      </w:r>
      <w:r w:rsidRPr="00D83A0F">
        <w:rPr>
          <w:rFonts w:ascii="Arial" w:hAnsi="Arial" w:cs="Arial"/>
        </w:rPr>
        <w:t>who</w:t>
      </w:r>
      <w:r w:rsidRPr="00D83A0F">
        <w:rPr>
          <w:rFonts w:ascii="Arial" w:hAnsi="Arial" w:cs="Arial"/>
          <w:spacing w:val="-17"/>
        </w:rPr>
        <w:t xml:space="preserve"> </w:t>
      </w:r>
      <w:r w:rsidRPr="00D83A0F">
        <w:rPr>
          <w:rFonts w:ascii="Arial" w:hAnsi="Arial" w:cs="Arial"/>
        </w:rPr>
        <w:t>shall</w:t>
      </w:r>
      <w:r w:rsidRPr="00D83A0F">
        <w:rPr>
          <w:rFonts w:ascii="Arial" w:hAnsi="Arial" w:cs="Arial"/>
          <w:spacing w:val="-14"/>
        </w:rPr>
        <w:t xml:space="preserve"> </w:t>
      </w:r>
      <w:r w:rsidRPr="00D83A0F">
        <w:rPr>
          <w:rFonts w:ascii="Arial" w:hAnsi="Arial" w:cs="Arial"/>
        </w:rPr>
        <w:t>be</w:t>
      </w:r>
      <w:r w:rsidRPr="00D83A0F">
        <w:rPr>
          <w:rFonts w:ascii="Arial" w:hAnsi="Arial" w:cs="Arial"/>
          <w:spacing w:val="-15"/>
        </w:rPr>
        <w:t xml:space="preserve"> </w:t>
      </w:r>
      <w:r w:rsidRPr="00D83A0F">
        <w:rPr>
          <w:rFonts w:ascii="Arial" w:hAnsi="Arial" w:cs="Arial"/>
        </w:rPr>
        <w:t>an</w:t>
      </w:r>
      <w:r w:rsidRPr="00D83A0F">
        <w:rPr>
          <w:rFonts w:ascii="Arial" w:hAnsi="Arial" w:cs="Arial"/>
          <w:spacing w:val="-15"/>
        </w:rPr>
        <w:t xml:space="preserve"> </w:t>
      </w:r>
      <w:r w:rsidRPr="00D83A0F">
        <w:rPr>
          <w:rFonts w:ascii="Arial" w:hAnsi="Arial" w:cs="Arial"/>
        </w:rPr>
        <w:t>independent</w:t>
      </w:r>
      <w:r w:rsidRPr="00D83A0F">
        <w:rPr>
          <w:rFonts w:ascii="Arial" w:hAnsi="Arial" w:cs="Arial"/>
          <w:spacing w:val="-16"/>
        </w:rPr>
        <w:t xml:space="preserve"> </w:t>
      </w:r>
      <w:r w:rsidR="00084E11">
        <w:rPr>
          <w:rFonts w:ascii="Arial" w:hAnsi="Arial" w:cs="Arial"/>
        </w:rPr>
        <w:t>N</w:t>
      </w:r>
      <w:r w:rsidRPr="00D83A0F">
        <w:rPr>
          <w:rFonts w:ascii="Arial" w:hAnsi="Arial" w:cs="Arial"/>
        </w:rPr>
        <w:t xml:space="preserve">on- </w:t>
      </w:r>
      <w:r w:rsidR="00084E11">
        <w:rPr>
          <w:rFonts w:ascii="Arial" w:hAnsi="Arial" w:cs="Arial"/>
        </w:rPr>
        <w:t>E</w:t>
      </w:r>
      <w:r w:rsidRPr="00D83A0F">
        <w:rPr>
          <w:rFonts w:ascii="Arial" w:hAnsi="Arial" w:cs="Arial"/>
        </w:rPr>
        <w:t xml:space="preserve">xecutive </w:t>
      </w:r>
      <w:r w:rsidR="00084E11">
        <w:rPr>
          <w:rFonts w:ascii="Arial" w:hAnsi="Arial" w:cs="Arial"/>
        </w:rPr>
        <w:t>D</w:t>
      </w:r>
      <w:r w:rsidRPr="00D83A0F">
        <w:rPr>
          <w:rFonts w:ascii="Arial" w:hAnsi="Arial" w:cs="Arial"/>
        </w:rPr>
        <w:t>irector. In the absence of the Committee Chair, the remaining members present shall elect one of themselves to chair the meeting. .</w:t>
      </w:r>
    </w:p>
    <w:p w14:paraId="4122F96F" w14:textId="77777777" w:rsidR="00D83A0F" w:rsidRPr="00D83A0F" w:rsidRDefault="00D83A0F" w:rsidP="005930DA">
      <w:pPr>
        <w:pStyle w:val="ListParagraph"/>
        <w:tabs>
          <w:tab w:val="left" w:pos="567"/>
        </w:tabs>
        <w:ind w:left="567" w:hanging="567"/>
        <w:jc w:val="both"/>
        <w:rPr>
          <w:rFonts w:ascii="Arial" w:hAnsi="Arial" w:cs="Arial"/>
        </w:rPr>
      </w:pPr>
    </w:p>
    <w:p w14:paraId="00E8D5FD" w14:textId="35A89BF7" w:rsidR="0071329F" w:rsidRDefault="00D90F40" w:rsidP="00C0526D">
      <w:pPr>
        <w:pStyle w:val="ListParagraph"/>
        <w:numPr>
          <w:ilvl w:val="1"/>
          <w:numId w:val="3"/>
        </w:numPr>
        <w:tabs>
          <w:tab w:val="left" w:pos="567"/>
        </w:tabs>
        <w:ind w:left="567" w:hanging="567"/>
        <w:jc w:val="both"/>
        <w:rPr>
          <w:rFonts w:ascii="Arial" w:hAnsi="Arial" w:cs="Arial"/>
        </w:rPr>
      </w:pPr>
      <w:r w:rsidRPr="00D83A0F">
        <w:rPr>
          <w:rFonts w:ascii="Arial" w:hAnsi="Arial" w:cs="Arial"/>
        </w:rPr>
        <w:t xml:space="preserve">There should be </w:t>
      </w:r>
      <w:r w:rsidR="00907810" w:rsidRPr="00D83A0F">
        <w:rPr>
          <w:rFonts w:ascii="Arial" w:hAnsi="Arial" w:cs="Arial"/>
        </w:rPr>
        <w:t xml:space="preserve">some </w:t>
      </w:r>
      <w:r w:rsidRPr="00D83A0F">
        <w:rPr>
          <w:rFonts w:ascii="Arial" w:hAnsi="Arial" w:cs="Arial"/>
        </w:rPr>
        <w:t>cross-membership between the Committee and the Audit Committee.</w:t>
      </w:r>
    </w:p>
    <w:p w14:paraId="20742740" w14:textId="77777777" w:rsidR="001E0531" w:rsidRPr="006F37D0" w:rsidRDefault="001E0531" w:rsidP="005930DA">
      <w:pPr>
        <w:pStyle w:val="ListParagraph"/>
        <w:tabs>
          <w:tab w:val="left" w:pos="567"/>
        </w:tabs>
        <w:ind w:left="567" w:firstLine="0"/>
        <w:jc w:val="both"/>
        <w:rPr>
          <w:rFonts w:ascii="Arial" w:hAnsi="Arial" w:cs="Arial"/>
        </w:rPr>
      </w:pPr>
    </w:p>
    <w:p w14:paraId="2147F7B1" w14:textId="77777777" w:rsidR="0071329F" w:rsidRPr="00600E61" w:rsidRDefault="0071329F" w:rsidP="005930DA">
      <w:pPr>
        <w:pStyle w:val="Heading1"/>
        <w:numPr>
          <w:ilvl w:val="0"/>
          <w:numId w:val="3"/>
        </w:numPr>
        <w:ind w:left="567" w:hanging="567"/>
        <w:jc w:val="both"/>
        <w:rPr>
          <w:rFonts w:ascii="Arial" w:hAnsi="Arial" w:cs="Arial"/>
        </w:rPr>
      </w:pPr>
      <w:r w:rsidRPr="00600E61">
        <w:rPr>
          <w:rFonts w:ascii="Arial" w:hAnsi="Arial" w:cs="Arial"/>
        </w:rPr>
        <w:t>Secretary</w:t>
      </w:r>
    </w:p>
    <w:p w14:paraId="60F5FCCB" w14:textId="77777777" w:rsidR="0071329F" w:rsidRPr="00600E61" w:rsidRDefault="0071329F" w:rsidP="005930DA">
      <w:pPr>
        <w:pStyle w:val="BodyText"/>
        <w:ind w:left="567" w:hanging="567"/>
        <w:jc w:val="both"/>
        <w:rPr>
          <w:rFonts w:ascii="Arial" w:hAnsi="Arial" w:cs="Arial"/>
          <w:b/>
          <w:sz w:val="23"/>
        </w:rPr>
      </w:pPr>
    </w:p>
    <w:p w14:paraId="73A3F42F" w14:textId="77777777" w:rsidR="003E3D9C" w:rsidRPr="003E3D9C" w:rsidRDefault="003E3D9C" w:rsidP="005930DA">
      <w:pPr>
        <w:pStyle w:val="ListParagraph"/>
        <w:numPr>
          <w:ilvl w:val="0"/>
          <w:numId w:val="8"/>
        </w:numPr>
        <w:tabs>
          <w:tab w:val="left" w:pos="821"/>
        </w:tabs>
        <w:ind w:left="567" w:hanging="567"/>
        <w:jc w:val="both"/>
        <w:rPr>
          <w:rFonts w:ascii="Arial" w:hAnsi="Arial" w:cs="Arial"/>
          <w:vanish/>
        </w:rPr>
      </w:pPr>
    </w:p>
    <w:p w14:paraId="4D39500A" w14:textId="77777777" w:rsidR="003E3D9C" w:rsidRPr="003E3D9C" w:rsidRDefault="003E3D9C" w:rsidP="005930DA">
      <w:pPr>
        <w:pStyle w:val="ListParagraph"/>
        <w:numPr>
          <w:ilvl w:val="0"/>
          <w:numId w:val="8"/>
        </w:numPr>
        <w:tabs>
          <w:tab w:val="left" w:pos="821"/>
        </w:tabs>
        <w:ind w:left="567" w:hanging="567"/>
        <w:jc w:val="both"/>
        <w:rPr>
          <w:rFonts w:ascii="Arial" w:hAnsi="Arial" w:cs="Arial"/>
          <w:vanish/>
        </w:rPr>
      </w:pPr>
    </w:p>
    <w:p w14:paraId="4456AC20" w14:textId="1B134F6C" w:rsidR="00D83A0F" w:rsidRDefault="0071329F" w:rsidP="00D3724E">
      <w:pPr>
        <w:pStyle w:val="ListParagraph"/>
        <w:numPr>
          <w:ilvl w:val="1"/>
          <w:numId w:val="3"/>
        </w:numPr>
        <w:ind w:left="567" w:hanging="567"/>
        <w:jc w:val="both"/>
        <w:rPr>
          <w:rFonts w:ascii="Arial" w:hAnsi="Arial" w:cs="Arial"/>
        </w:rPr>
      </w:pPr>
      <w:r w:rsidRPr="00600E61">
        <w:rPr>
          <w:rFonts w:ascii="Arial" w:hAnsi="Arial" w:cs="Arial"/>
        </w:rPr>
        <w:t>The</w:t>
      </w:r>
      <w:r w:rsidRPr="00AD7202">
        <w:rPr>
          <w:rFonts w:ascii="Arial" w:hAnsi="Arial" w:cs="Arial"/>
        </w:rPr>
        <w:t xml:space="preserve"> </w:t>
      </w:r>
      <w:r w:rsidRPr="00600E61">
        <w:rPr>
          <w:rFonts w:ascii="Arial" w:hAnsi="Arial" w:cs="Arial"/>
        </w:rPr>
        <w:t>Group</w:t>
      </w:r>
      <w:r w:rsidRPr="00AD7202">
        <w:rPr>
          <w:rFonts w:ascii="Arial" w:hAnsi="Arial" w:cs="Arial"/>
        </w:rPr>
        <w:t xml:space="preserve"> </w:t>
      </w:r>
      <w:r w:rsidR="00EF5A22">
        <w:rPr>
          <w:rFonts w:ascii="Arial" w:hAnsi="Arial" w:cs="Arial"/>
        </w:rPr>
        <w:t xml:space="preserve">Company </w:t>
      </w:r>
      <w:r w:rsidRPr="00600E61">
        <w:rPr>
          <w:rFonts w:ascii="Arial" w:hAnsi="Arial" w:cs="Arial"/>
        </w:rPr>
        <w:t>Secretary</w:t>
      </w:r>
      <w:r w:rsidRPr="00AD7202">
        <w:rPr>
          <w:rFonts w:ascii="Arial" w:hAnsi="Arial" w:cs="Arial"/>
        </w:rPr>
        <w:t xml:space="preserve"> </w:t>
      </w:r>
      <w:r w:rsidR="00D3724E">
        <w:rPr>
          <w:rFonts w:ascii="Arial" w:hAnsi="Arial" w:cs="Arial"/>
        </w:rPr>
        <w:t xml:space="preserve">(the “Secretary”) </w:t>
      </w:r>
      <w:r w:rsidRPr="00600E61">
        <w:rPr>
          <w:rFonts w:ascii="Arial" w:hAnsi="Arial" w:cs="Arial"/>
        </w:rPr>
        <w:t>or</w:t>
      </w:r>
      <w:r w:rsidRPr="00AD7202">
        <w:rPr>
          <w:rFonts w:ascii="Arial" w:hAnsi="Arial" w:cs="Arial"/>
        </w:rPr>
        <w:t xml:space="preserve"> </w:t>
      </w:r>
      <w:r w:rsidRPr="00600E61">
        <w:rPr>
          <w:rFonts w:ascii="Arial" w:hAnsi="Arial" w:cs="Arial"/>
        </w:rPr>
        <w:t>their</w:t>
      </w:r>
      <w:r w:rsidRPr="00AD7202">
        <w:rPr>
          <w:rFonts w:ascii="Arial" w:hAnsi="Arial" w:cs="Arial"/>
        </w:rPr>
        <w:t xml:space="preserve"> </w:t>
      </w:r>
      <w:r w:rsidRPr="00600E61">
        <w:rPr>
          <w:rFonts w:ascii="Arial" w:hAnsi="Arial" w:cs="Arial"/>
        </w:rPr>
        <w:t>nominee</w:t>
      </w:r>
      <w:r w:rsidRPr="00AD7202">
        <w:rPr>
          <w:rFonts w:ascii="Arial" w:hAnsi="Arial" w:cs="Arial"/>
        </w:rPr>
        <w:t xml:space="preserve"> </w:t>
      </w:r>
      <w:r w:rsidRPr="00600E61">
        <w:rPr>
          <w:rFonts w:ascii="Arial" w:hAnsi="Arial" w:cs="Arial"/>
        </w:rPr>
        <w:t>shall</w:t>
      </w:r>
      <w:r w:rsidRPr="00AD7202">
        <w:rPr>
          <w:rFonts w:ascii="Arial" w:hAnsi="Arial" w:cs="Arial"/>
        </w:rPr>
        <w:t xml:space="preserve"> </w:t>
      </w:r>
      <w:r w:rsidRPr="00600E61">
        <w:rPr>
          <w:rFonts w:ascii="Arial" w:hAnsi="Arial" w:cs="Arial"/>
        </w:rPr>
        <w:t>act</w:t>
      </w:r>
      <w:r w:rsidRPr="00AD7202">
        <w:rPr>
          <w:rFonts w:ascii="Arial" w:hAnsi="Arial" w:cs="Arial"/>
        </w:rPr>
        <w:t xml:space="preserve"> </w:t>
      </w:r>
      <w:r w:rsidRPr="00600E61">
        <w:rPr>
          <w:rFonts w:ascii="Arial" w:hAnsi="Arial" w:cs="Arial"/>
        </w:rPr>
        <w:t>as</w:t>
      </w:r>
      <w:r w:rsidRPr="00AD7202">
        <w:rPr>
          <w:rFonts w:ascii="Arial" w:hAnsi="Arial" w:cs="Arial"/>
        </w:rPr>
        <w:t xml:space="preserve"> </w:t>
      </w:r>
      <w:r w:rsidRPr="00600E61">
        <w:rPr>
          <w:rFonts w:ascii="Arial" w:hAnsi="Arial" w:cs="Arial"/>
        </w:rPr>
        <w:t>the</w:t>
      </w:r>
      <w:r w:rsidRPr="00AD7202">
        <w:rPr>
          <w:rFonts w:ascii="Arial" w:hAnsi="Arial" w:cs="Arial"/>
        </w:rPr>
        <w:t xml:space="preserve"> </w:t>
      </w:r>
      <w:r w:rsidRPr="00600E61">
        <w:rPr>
          <w:rFonts w:ascii="Arial" w:hAnsi="Arial" w:cs="Arial"/>
        </w:rPr>
        <w:t>Secretary</w:t>
      </w:r>
      <w:r w:rsidRPr="00AD7202">
        <w:rPr>
          <w:rFonts w:ascii="Arial" w:hAnsi="Arial" w:cs="Arial"/>
        </w:rPr>
        <w:t xml:space="preserve"> </w:t>
      </w:r>
      <w:r w:rsidRPr="00600E61">
        <w:rPr>
          <w:rFonts w:ascii="Arial" w:hAnsi="Arial" w:cs="Arial"/>
        </w:rPr>
        <w:t>of</w:t>
      </w:r>
      <w:r w:rsidRPr="00AD7202">
        <w:rPr>
          <w:rFonts w:ascii="Arial" w:hAnsi="Arial" w:cs="Arial"/>
        </w:rPr>
        <w:t xml:space="preserve"> </w:t>
      </w:r>
      <w:r w:rsidRPr="00600E61">
        <w:rPr>
          <w:rFonts w:ascii="Arial" w:hAnsi="Arial" w:cs="Arial"/>
        </w:rPr>
        <w:t>the</w:t>
      </w:r>
      <w:r w:rsidRPr="00AD7202">
        <w:rPr>
          <w:rFonts w:ascii="Arial" w:hAnsi="Arial" w:cs="Arial"/>
        </w:rPr>
        <w:t xml:space="preserve"> </w:t>
      </w:r>
      <w:r w:rsidRPr="00600E61">
        <w:rPr>
          <w:rFonts w:ascii="Arial" w:hAnsi="Arial" w:cs="Arial"/>
        </w:rPr>
        <w:t xml:space="preserve">Committee and attend all meetings. The Group </w:t>
      </w:r>
      <w:r w:rsidR="00EF5A22">
        <w:rPr>
          <w:rFonts w:ascii="Arial" w:hAnsi="Arial" w:cs="Arial"/>
        </w:rPr>
        <w:t xml:space="preserve">Company </w:t>
      </w:r>
      <w:r w:rsidRPr="00600E61">
        <w:rPr>
          <w:rFonts w:ascii="Arial" w:hAnsi="Arial" w:cs="Arial"/>
        </w:rPr>
        <w:t>Secretary will ensure that the Committee receives information and papers in a timely manner to enable consideration to be given to all matters by the</w:t>
      </w:r>
      <w:r w:rsidRPr="003E3D9C">
        <w:rPr>
          <w:rFonts w:ascii="Arial" w:hAnsi="Arial" w:cs="Arial"/>
        </w:rPr>
        <w:t xml:space="preserve"> </w:t>
      </w:r>
      <w:r w:rsidRPr="00600E61">
        <w:rPr>
          <w:rFonts w:ascii="Arial" w:hAnsi="Arial" w:cs="Arial"/>
        </w:rPr>
        <w:t>Committee.</w:t>
      </w:r>
    </w:p>
    <w:p w14:paraId="0B6DFAA9" w14:textId="7996CF7F" w:rsidR="00F10200" w:rsidRPr="006F37D0" w:rsidRDefault="00D90F40" w:rsidP="005930DA">
      <w:pPr>
        <w:pStyle w:val="Heading1"/>
        <w:numPr>
          <w:ilvl w:val="0"/>
          <w:numId w:val="3"/>
        </w:numPr>
        <w:spacing w:before="220" w:after="240"/>
        <w:ind w:left="567" w:hanging="567"/>
        <w:rPr>
          <w:rFonts w:ascii="Arial" w:hAnsi="Arial" w:cs="Arial"/>
        </w:rPr>
      </w:pPr>
      <w:r w:rsidRPr="00600E61">
        <w:rPr>
          <w:rFonts w:ascii="Arial" w:hAnsi="Arial" w:cs="Arial"/>
        </w:rPr>
        <w:t>Quorum</w:t>
      </w:r>
    </w:p>
    <w:p w14:paraId="0360BB18" w14:textId="0F6FF0B6" w:rsidR="00210575" w:rsidRDefault="00D90F40" w:rsidP="00EE661F">
      <w:pPr>
        <w:pStyle w:val="ListParagraph"/>
        <w:numPr>
          <w:ilvl w:val="1"/>
          <w:numId w:val="3"/>
        </w:numPr>
        <w:ind w:left="567" w:hanging="567"/>
        <w:jc w:val="both"/>
        <w:rPr>
          <w:rFonts w:ascii="Arial" w:hAnsi="Arial" w:cs="Arial"/>
        </w:rPr>
      </w:pPr>
      <w:r w:rsidRPr="00600E61">
        <w:rPr>
          <w:rFonts w:ascii="Arial" w:hAnsi="Arial" w:cs="Arial"/>
        </w:rPr>
        <w:t xml:space="preserve">The quorum necessary for the transaction of business shall be two. A duly convened meeting of the Committee at which a quorum is present </w:t>
      </w:r>
      <w:r w:rsidR="00D3724E">
        <w:rPr>
          <w:rFonts w:ascii="Arial" w:hAnsi="Arial" w:cs="Arial"/>
        </w:rPr>
        <w:t xml:space="preserve">(in person or virtually) </w:t>
      </w:r>
      <w:r w:rsidRPr="00600E61">
        <w:rPr>
          <w:rFonts w:ascii="Arial" w:hAnsi="Arial" w:cs="Arial"/>
        </w:rPr>
        <w:t>shall be competent to exercise all or any of the authorities, powers and discretions vested in or exercisable by the</w:t>
      </w:r>
      <w:r w:rsidRPr="003E3D9C">
        <w:rPr>
          <w:rFonts w:ascii="Arial" w:hAnsi="Arial" w:cs="Arial"/>
        </w:rPr>
        <w:t xml:space="preserve"> </w:t>
      </w:r>
      <w:r w:rsidRPr="00600E61">
        <w:rPr>
          <w:rFonts w:ascii="Arial" w:hAnsi="Arial" w:cs="Arial"/>
        </w:rPr>
        <w:t>Committee.</w:t>
      </w:r>
    </w:p>
    <w:p w14:paraId="66DD4BC1" w14:textId="7EE50C42" w:rsidR="00D3724E" w:rsidRPr="00A90757" w:rsidRDefault="00D3724E" w:rsidP="00A90757">
      <w:pPr>
        <w:pStyle w:val="Heading1"/>
        <w:numPr>
          <w:ilvl w:val="0"/>
          <w:numId w:val="3"/>
        </w:numPr>
        <w:spacing w:before="220" w:after="240"/>
        <w:ind w:left="567" w:hanging="567"/>
        <w:rPr>
          <w:rFonts w:ascii="Arial" w:hAnsi="Arial" w:cs="Arial"/>
        </w:rPr>
      </w:pPr>
      <w:r w:rsidRPr="00A90757">
        <w:rPr>
          <w:rFonts w:ascii="Arial" w:hAnsi="Arial" w:cs="Arial"/>
        </w:rPr>
        <w:t>Conflicts of Interest</w:t>
      </w:r>
    </w:p>
    <w:p w14:paraId="46F9E7F5" w14:textId="55309E5E" w:rsidR="00D3724E" w:rsidRDefault="00D3724E" w:rsidP="00EE661F">
      <w:pPr>
        <w:pStyle w:val="BodyText"/>
        <w:spacing w:before="10"/>
        <w:ind w:left="567" w:right="4" w:hanging="567"/>
        <w:jc w:val="both"/>
        <w:rPr>
          <w:rFonts w:ascii="Arial" w:hAnsi="Arial" w:cs="Arial"/>
        </w:rPr>
      </w:pPr>
      <w:r>
        <w:rPr>
          <w:rFonts w:ascii="Arial" w:hAnsi="Arial" w:cs="Arial"/>
        </w:rPr>
        <w:t>5.1</w:t>
      </w:r>
      <w:r>
        <w:rPr>
          <w:rFonts w:ascii="Arial" w:hAnsi="Arial" w:cs="Arial"/>
        </w:rPr>
        <w:tab/>
        <w:t xml:space="preserve">Each member of the Committee should consider whether they have any conflicts of interest prior to participating in meetings of the Committee and making decisions regarding the business of </w:t>
      </w:r>
      <w:r w:rsidR="0040007F">
        <w:rPr>
          <w:rFonts w:ascii="Arial" w:hAnsi="Arial" w:cs="Arial"/>
        </w:rPr>
        <w:t>IGGH, IGM, IGI, IG T&amp;I or the Group</w:t>
      </w:r>
      <w:r>
        <w:rPr>
          <w:rFonts w:ascii="Arial" w:hAnsi="Arial" w:cs="Arial"/>
        </w:rPr>
        <w:t>.</w:t>
      </w:r>
    </w:p>
    <w:p w14:paraId="6605FB11" w14:textId="77777777" w:rsidR="001E0531" w:rsidRPr="005930DA" w:rsidRDefault="001E0531" w:rsidP="005930DA">
      <w:pPr>
        <w:jc w:val="both"/>
        <w:rPr>
          <w:rFonts w:ascii="Arial" w:hAnsi="Arial" w:cs="Arial"/>
        </w:rPr>
      </w:pPr>
    </w:p>
    <w:p w14:paraId="254F6B68" w14:textId="257BDC4E" w:rsidR="00F10200" w:rsidRDefault="00D90F40" w:rsidP="00A90757">
      <w:pPr>
        <w:pStyle w:val="Heading1"/>
        <w:numPr>
          <w:ilvl w:val="0"/>
          <w:numId w:val="3"/>
        </w:numPr>
        <w:ind w:left="567" w:hanging="567"/>
        <w:jc w:val="both"/>
        <w:rPr>
          <w:rFonts w:ascii="Arial" w:hAnsi="Arial" w:cs="Arial"/>
        </w:rPr>
      </w:pPr>
      <w:r w:rsidRPr="00600E61">
        <w:rPr>
          <w:rFonts w:ascii="Arial" w:hAnsi="Arial" w:cs="Arial"/>
        </w:rPr>
        <w:t>Frequency of</w:t>
      </w:r>
      <w:r w:rsidRPr="00EC1F6F">
        <w:rPr>
          <w:rFonts w:ascii="Arial" w:hAnsi="Arial" w:cs="Arial"/>
        </w:rPr>
        <w:t xml:space="preserve"> </w:t>
      </w:r>
      <w:r w:rsidRPr="00600E61">
        <w:rPr>
          <w:rFonts w:ascii="Arial" w:hAnsi="Arial" w:cs="Arial"/>
        </w:rPr>
        <w:t>Meetings</w:t>
      </w:r>
    </w:p>
    <w:p w14:paraId="6AA9563F" w14:textId="77777777" w:rsidR="00605A8E" w:rsidRPr="00600E61" w:rsidRDefault="00605A8E" w:rsidP="005930DA">
      <w:pPr>
        <w:pStyle w:val="Heading1"/>
        <w:tabs>
          <w:tab w:val="left" w:pos="820"/>
          <w:tab w:val="left" w:pos="821"/>
        </w:tabs>
        <w:ind w:left="567" w:hanging="567"/>
        <w:jc w:val="both"/>
        <w:rPr>
          <w:rFonts w:ascii="Arial" w:hAnsi="Arial" w:cs="Arial"/>
        </w:rPr>
      </w:pPr>
    </w:p>
    <w:p w14:paraId="6C19C04A" w14:textId="1E048A30" w:rsidR="00F10200" w:rsidRDefault="00EE30FA" w:rsidP="00EE30FA">
      <w:pPr>
        <w:ind w:left="567" w:hanging="567"/>
        <w:jc w:val="both"/>
        <w:rPr>
          <w:rFonts w:ascii="Arial" w:hAnsi="Arial" w:cs="Arial"/>
        </w:rPr>
      </w:pPr>
      <w:r>
        <w:rPr>
          <w:rFonts w:ascii="Arial" w:hAnsi="Arial" w:cs="Arial"/>
        </w:rPr>
        <w:t xml:space="preserve">6.1 </w:t>
      </w:r>
      <w:r>
        <w:rPr>
          <w:rFonts w:ascii="Arial" w:hAnsi="Arial" w:cs="Arial"/>
        </w:rPr>
        <w:tab/>
      </w:r>
      <w:r w:rsidR="00D90F40" w:rsidRPr="00EE30FA">
        <w:rPr>
          <w:rFonts w:ascii="Arial" w:hAnsi="Arial" w:cs="Arial"/>
        </w:rPr>
        <w:t xml:space="preserve">The Committee shall meet at least four times a year or </w:t>
      </w:r>
      <w:r>
        <w:rPr>
          <w:rFonts w:ascii="Arial" w:hAnsi="Arial" w:cs="Arial"/>
        </w:rPr>
        <w:t>at such time as the Committee Chair requires</w:t>
      </w:r>
      <w:r w:rsidR="00D90F40" w:rsidRPr="00EE30FA">
        <w:rPr>
          <w:rFonts w:ascii="Arial" w:hAnsi="Arial" w:cs="Arial"/>
        </w:rPr>
        <w:t>.</w:t>
      </w:r>
    </w:p>
    <w:p w14:paraId="4CB54DA0" w14:textId="77777777" w:rsidR="001E0531" w:rsidRPr="006F37D0" w:rsidRDefault="001E0531" w:rsidP="005930DA">
      <w:pPr>
        <w:pStyle w:val="ListParagraph"/>
        <w:ind w:left="567" w:firstLine="0"/>
        <w:jc w:val="both"/>
        <w:rPr>
          <w:rFonts w:ascii="Arial" w:hAnsi="Arial" w:cs="Arial"/>
        </w:rPr>
      </w:pPr>
    </w:p>
    <w:p w14:paraId="26ED92DD" w14:textId="626FC612" w:rsidR="00F10200" w:rsidRDefault="00D90F40" w:rsidP="00A90757">
      <w:pPr>
        <w:pStyle w:val="Heading1"/>
        <w:numPr>
          <w:ilvl w:val="0"/>
          <w:numId w:val="3"/>
        </w:numPr>
        <w:ind w:left="567" w:hanging="567"/>
        <w:jc w:val="both"/>
        <w:rPr>
          <w:rFonts w:ascii="Arial" w:hAnsi="Arial" w:cs="Arial"/>
        </w:rPr>
      </w:pPr>
      <w:r w:rsidRPr="00600E61">
        <w:rPr>
          <w:rFonts w:ascii="Arial" w:hAnsi="Arial" w:cs="Arial"/>
        </w:rPr>
        <w:t>Notice of</w:t>
      </w:r>
      <w:r w:rsidRPr="00EC1F6F">
        <w:rPr>
          <w:rFonts w:ascii="Arial" w:hAnsi="Arial" w:cs="Arial"/>
        </w:rPr>
        <w:t xml:space="preserve"> </w:t>
      </w:r>
      <w:r w:rsidRPr="00600E61">
        <w:rPr>
          <w:rFonts w:ascii="Arial" w:hAnsi="Arial" w:cs="Arial"/>
        </w:rPr>
        <w:t>Meetings</w:t>
      </w:r>
    </w:p>
    <w:p w14:paraId="750E7D4C" w14:textId="77777777" w:rsidR="001E0531" w:rsidRPr="006F37D0" w:rsidRDefault="001E0531" w:rsidP="005930DA">
      <w:pPr>
        <w:pStyle w:val="Heading1"/>
        <w:ind w:left="567" w:firstLine="0"/>
        <w:jc w:val="both"/>
        <w:rPr>
          <w:rFonts w:ascii="Arial" w:hAnsi="Arial" w:cs="Arial"/>
        </w:rPr>
      </w:pPr>
    </w:p>
    <w:p w14:paraId="368FB7FF" w14:textId="77777777" w:rsidR="00EC1F6F" w:rsidRPr="00EC1F6F" w:rsidRDefault="00EC1F6F" w:rsidP="005930DA">
      <w:pPr>
        <w:pStyle w:val="ListParagraph"/>
        <w:numPr>
          <w:ilvl w:val="0"/>
          <w:numId w:val="8"/>
        </w:numPr>
        <w:ind w:left="567" w:hanging="567"/>
        <w:jc w:val="both"/>
        <w:rPr>
          <w:rFonts w:ascii="Arial" w:hAnsi="Arial" w:cs="Arial"/>
          <w:vanish/>
        </w:rPr>
      </w:pPr>
    </w:p>
    <w:p w14:paraId="09B307DE" w14:textId="77777777" w:rsidR="00EC1F6F" w:rsidRPr="00EC1F6F" w:rsidRDefault="00EC1F6F" w:rsidP="005930DA">
      <w:pPr>
        <w:pStyle w:val="ListParagraph"/>
        <w:numPr>
          <w:ilvl w:val="0"/>
          <w:numId w:val="8"/>
        </w:numPr>
        <w:ind w:left="567" w:hanging="567"/>
        <w:jc w:val="both"/>
        <w:rPr>
          <w:rFonts w:ascii="Arial" w:hAnsi="Arial" w:cs="Arial"/>
          <w:vanish/>
        </w:rPr>
      </w:pPr>
    </w:p>
    <w:p w14:paraId="52473DAA" w14:textId="77777777" w:rsidR="00EC1F6F" w:rsidRPr="00EC1F6F" w:rsidRDefault="00EC1F6F" w:rsidP="005930DA">
      <w:pPr>
        <w:pStyle w:val="ListParagraph"/>
        <w:numPr>
          <w:ilvl w:val="0"/>
          <w:numId w:val="8"/>
        </w:numPr>
        <w:ind w:left="567" w:hanging="567"/>
        <w:jc w:val="both"/>
        <w:rPr>
          <w:rFonts w:ascii="Arial" w:hAnsi="Arial" w:cs="Arial"/>
          <w:vanish/>
        </w:rPr>
      </w:pPr>
    </w:p>
    <w:p w14:paraId="3C3FA30D" w14:textId="2F3621BD" w:rsidR="000C40EC" w:rsidRDefault="00D90F40" w:rsidP="005930DA">
      <w:pPr>
        <w:pStyle w:val="ListParagraph"/>
        <w:numPr>
          <w:ilvl w:val="1"/>
          <w:numId w:val="8"/>
        </w:numPr>
        <w:ind w:left="567" w:hanging="567"/>
        <w:jc w:val="both"/>
        <w:rPr>
          <w:rFonts w:ascii="Arial" w:hAnsi="Arial" w:cs="Arial"/>
        </w:rPr>
      </w:pPr>
      <w:r w:rsidRPr="00600E61">
        <w:rPr>
          <w:rFonts w:ascii="Arial" w:hAnsi="Arial" w:cs="Arial"/>
        </w:rPr>
        <w:t>Meetings</w:t>
      </w:r>
      <w:r w:rsidRPr="00EC1F6F">
        <w:rPr>
          <w:rFonts w:ascii="Arial" w:hAnsi="Arial" w:cs="Arial"/>
        </w:rPr>
        <w:t xml:space="preserve"> </w:t>
      </w:r>
      <w:r w:rsidRPr="00600E61">
        <w:rPr>
          <w:rFonts w:ascii="Arial" w:hAnsi="Arial" w:cs="Arial"/>
        </w:rPr>
        <w:t>of</w:t>
      </w:r>
      <w:r w:rsidRPr="00EC1F6F">
        <w:rPr>
          <w:rFonts w:ascii="Arial" w:hAnsi="Arial" w:cs="Arial"/>
        </w:rPr>
        <w:t xml:space="preserve"> </w:t>
      </w:r>
      <w:r w:rsidRPr="00600E61">
        <w:rPr>
          <w:rFonts w:ascii="Arial" w:hAnsi="Arial" w:cs="Arial"/>
        </w:rPr>
        <w:t>the</w:t>
      </w:r>
      <w:r w:rsidRPr="00EC1F6F">
        <w:rPr>
          <w:rFonts w:ascii="Arial" w:hAnsi="Arial" w:cs="Arial"/>
        </w:rPr>
        <w:t xml:space="preserve"> </w:t>
      </w:r>
      <w:r w:rsidRPr="00600E61">
        <w:rPr>
          <w:rFonts w:ascii="Arial" w:hAnsi="Arial" w:cs="Arial"/>
        </w:rPr>
        <w:t>Committee</w:t>
      </w:r>
      <w:r w:rsidRPr="00EC1F6F">
        <w:rPr>
          <w:rFonts w:ascii="Arial" w:hAnsi="Arial" w:cs="Arial"/>
        </w:rPr>
        <w:t xml:space="preserve"> </w:t>
      </w:r>
      <w:r w:rsidRPr="00600E61">
        <w:rPr>
          <w:rFonts w:ascii="Arial" w:hAnsi="Arial" w:cs="Arial"/>
        </w:rPr>
        <w:t>shall</w:t>
      </w:r>
      <w:r w:rsidRPr="00EC1F6F">
        <w:rPr>
          <w:rFonts w:ascii="Arial" w:hAnsi="Arial" w:cs="Arial"/>
        </w:rPr>
        <w:t xml:space="preserve"> </w:t>
      </w:r>
      <w:r w:rsidRPr="00600E61">
        <w:rPr>
          <w:rFonts w:ascii="Arial" w:hAnsi="Arial" w:cs="Arial"/>
        </w:rPr>
        <w:t>be</w:t>
      </w:r>
      <w:r w:rsidRPr="00EC1F6F">
        <w:rPr>
          <w:rFonts w:ascii="Arial" w:hAnsi="Arial" w:cs="Arial"/>
        </w:rPr>
        <w:t xml:space="preserve"> </w:t>
      </w:r>
      <w:r w:rsidRPr="00600E61">
        <w:rPr>
          <w:rFonts w:ascii="Arial" w:hAnsi="Arial" w:cs="Arial"/>
        </w:rPr>
        <w:t>called</w:t>
      </w:r>
      <w:r w:rsidRPr="00EC1F6F">
        <w:rPr>
          <w:rFonts w:ascii="Arial" w:hAnsi="Arial" w:cs="Arial"/>
        </w:rPr>
        <w:t xml:space="preserve"> </w:t>
      </w:r>
      <w:r w:rsidRPr="00600E61">
        <w:rPr>
          <w:rFonts w:ascii="Arial" w:hAnsi="Arial" w:cs="Arial"/>
        </w:rPr>
        <w:t>by</w:t>
      </w:r>
      <w:r w:rsidRPr="00EC1F6F">
        <w:rPr>
          <w:rFonts w:ascii="Arial" w:hAnsi="Arial" w:cs="Arial"/>
        </w:rPr>
        <w:t xml:space="preserve"> </w:t>
      </w:r>
      <w:r w:rsidRPr="00600E61">
        <w:rPr>
          <w:rFonts w:ascii="Arial" w:hAnsi="Arial" w:cs="Arial"/>
        </w:rPr>
        <w:t>the</w:t>
      </w:r>
      <w:r w:rsidRPr="00EC1F6F">
        <w:rPr>
          <w:rFonts w:ascii="Arial" w:hAnsi="Arial" w:cs="Arial"/>
        </w:rPr>
        <w:t xml:space="preserve"> </w:t>
      </w:r>
      <w:r w:rsidRPr="00600E61">
        <w:rPr>
          <w:rFonts w:ascii="Arial" w:hAnsi="Arial" w:cs="Arial"/>
        </w:rPr>
        <w:t>Secretary</w:t>
      </w:r>
      <w:r w:rsidRPr="00EC1F6F">
        <w:rPr>
          <w:rFonts w:ascii="Arial" w:hAnsi="Arial" w:cs="Arial"/>
        </w:rPr>
        <w:t xml:space="preserve"> </w:t>
      </w:r>
      <w:r w:rsidRPr="00600E61">
        <w:rPr>
          <w:rFonts w:ascii="Arial" w:hAnsi="Arial" w:cs="Arial"/>
        </w:rPr>
        <w:t>of</w:t>
      </w:r>
      <w:r w:rsidRPr="00EC1F6F">
        <w:rPr>
          <w:rFonts w:ascii="Arial" w:hAnsi="Arial" w:cs="Arial"/>
        </w:rPr>
        <w:t xml:space="preserve"> </w:t>
      </w:r>
      <w:r w:rsidRPr="00600E61">
        <w:rPr>
          <w:rFonts w:ascii="Arial" w:hAnsi="Arial" w:cs="Arial"/>
        </w:rPr>
        <w:t>the</w:t>
      </w:r>
      <w:r w:rsidRPr="00EC1F6F">
        <w:rPr>
          <w:rFonts w:ascii="Arial" w:hAnsi="Arial" w:cs="Arial"/>
        </w:rPr>
        <w:t xml:space="preserve"> </w:t>
      </w:r>
      <w:r w:rsidRPr="00600E61">
        <w:rPr>
          <w:rFonts w:ascii="Arial" w:hAnsi="Arial" w:cs="Arial"/>
        </w:rPr>
        <w:t>Committee</w:t>
      </w:r>
      <w:r w:rsidRPr="00EC1F6F">
        <w:rPr>
          <w:rFonts w:ascii="Arial" w:hAnsi="Arial" w:cs="Arial"/>
        </w:rPr>
        <w:t xml:space="preserve"> </w:t>
      </w:r>
      <w:r w:rsidRPr="00600E61">
        <w:rPr>
          <w:rFonts w:ascii="Arial" w:hAnsi="Arial" w:cs="Arial"/>
        </w:rPr>
        <w:t>at</w:t>
      </w:r>
      <w:r w:rsidRPr="00EC1F6F">
        <w:rPr>
          <w:rFonts w:ascii="Arial" w:hAnsi="Arial" w:cs="Arial"/>
        </w:rPr>
        <w:t xml:space="preserve"> </w:t>
      </w:r>
      <w:r w:rsidRPr="00600E61">
        <w:rPr>
          <w:rFonts w:ascii="Arial" w:hAnsi="Arial" w:cs="Arial"/>
        </w:rPr>
        <w:t>the request of the Committee Chair or by any of its members. The Chair of the Board, the Chief Executive</w:t>
      </w:r>
      <w:r w:rsidR="001B7C40">
        <w:rPr>
          <w:rFonts w:ascii="Arial" w:hAnsi="Arial" w:cs="Arial"/>
        </w:rPr>
        <w:t xml:space="preserve"> Officer</w:t>
      </w:r>
      <w:r w:rsidRPr="00600E61">
        <w:rPr>
          <w:rFonts w:ascii="Arial" w:hAnsi="Arial" w:cs="Arial"/>
        </w:rPr>
        <w:t>, the Chief Financial Officer, the Chief Risk Officer, Global Head of Internal Audit or the Group</w:t>
      </w:r>
      <w:r w:rsidRPr="00EC1F6F">
        <w:rPr>
          <w:rFonts w:ascii="Arial" w:hAnsi="Arial" w:cs="Arial"/>
        </w:rPr>
        <w:t xml:space="preserve"> </w:t>
      </w:r>
      <w:r w:rsidRPr="00600E61">
        <w:rPr>
          <w:rFonts w:ascii="Arial" w:hAnsi="Arial" w:cs="Arial"/>
        </w:rPr>
        <w:t>Chief</w:t>
      </w:r>
      <w:r w:rsidRPr="00EC1F6F">
        <w:rPr>
          <w:rFonts w:ascii="Arial" w:hAnsi="Arial" w:cs="Arial"/>
        </w:rPr>
        <w:t xml:space="preserve"> </w:t>
      </w:r>
      <w:r w:rsidRPr="00600E61">
        <w:rPr>
          <w:rFonts w:ascii="Arial" w:hAnsi="Arial" w:cs="Arial"/>
        </w:rPr>
        <w:t>Compliance</w:t>
      </w:r>
      <w:r w:rsidRPr="00EC1F6F">
        <w:rPr>
          <w:rFonts w:ascii="Arial" w:hAnsi="Arial" w:cs="Arial"/>
        </w:rPr>
        <w:t xml:space="preserve"> </w:t>
      </w:r>
      <w:r w:rsidRPr="00600E61">
        <w:rPr>
          <w:rFonts w:ascii="Arial" w:hAnsi="Arial" w:cs="Arial"/>
        </w:rPr>
        <w:t>Officer</w:t>
      </w:r>
      <w:r w:rsidRPr="00EC1F6F">
        <w:rPr>
          <w:rFonts w:ascii="Arial" w:hAnsi="Arial" w:cs="Arial"/>
        </w:rPr>
        <w:t xml:space="preserve"> </w:t>
      </w:r>
      <w:r w:rsidRPr="00600E61">
        <w:rPr>
          <w:rFonts w:ascii="Arial" w:hAnsi="Arial" w:cs="Arial"/>
        </w:rPr>
        <w:t>may</w:t>
      </w:r>
      <w:r w:rsidRPr="00EC1F6F">
        <w:rPr>
          <w:rFonts w:ascii="Arial" w:hAnsi="Arial" w:cs="Arial"/>
        </w:rPr>
        <w:t xml:space="preserve"> </w:t>
      </w:r>
      <w:r w:rsidRPr="00600E61">
        <w:rPr>
          <w:rFonts w:ascii="Arial" w:hAnsi="Arial" w:cs="Arial"/>
        </w:rPr>
        <w:t>request</w:t>
      </w:r>
      <w:r w:rsidRPr="00EC1F6F">
        <w:rPr>
          <w:rFonts w:ascii="Arial" w:hAnsi="Arial" w:cs="Arial"/>
        </w:rPr>
        <w:t xml:space="preserve"> </w:t>
      </w:r>
      <w:r w:rsidRPr="00600E61">
        <w:rPr>
          <w:rFonts w:ascii="Arial" w:hAnsi="Arial" w:cs="Arial"/>
        </w:rPr>
        <w:t>the</w:t>
      </w:r>
      <w:r w:rsidRPr="00EC1F6F">
        <w:rPr>
          <w:rFonts w:ascii="Arial" w:hAnsi="Arial" w:cs="Arial"/>
        </w:rPr>
        <w:t xml:space="preserve"> </w:t>
      </w:r>
      <w:r w:rsidRPr="00600E61">
        <w:rPr>
          <w:rFonts w:ascii="Arial" w:hAnsi="Arial" w:cs="Arial"/>
        </w:rPr>
        <w:t>Committee</w:t>
      </w:r>
      <w:r w:rsidRPr="00EC1F6F">
        <w:rPr>
          <w:rFonts w:ascii="Arial" w:hAnsi="Arial" w:cs="Arial"/>
        </w:rPr>
        <w:t xml:space="preserve"> </w:t>
      </w:r>
      <w:r w:rsidRPr="00600E61">
        <w:rPr>
          <w:rFonts w:ascii="Arial" w:hAnsi="Arial" w:cs="Arial"/>
        </w:rPr>
        <w:t>Chair</w:t>
      </w:r>
      <w:r w:rsidRPr="00EC1F6F">
        <w:rPr>
          <w:rFonts w:ascii="Arial" w:hAnsi="Arial" w:cs="Arial"/>
        </w:rPr>
        <w:t xml:space="preserve"> </w:t>
      </w:r>
      <w:r w:rsidRPr="00600E61">
        <w:rPr>
          <w:rFonts w:ascii="Arial" w:hAnsi="Arial" w:cs="Arial"/>
        </w:rPr>
        <w:t>to</w:t>
      </w:r>
      <w:r w:rsidRPr="00EC1F6F">
        <w:rPr>
          <w:rFonts w:ascii="Arial" w:hAnsi="Arial" w:cs="Arial"/>
        </w:rPr>
        <w:t xml:space="preserve"> </w:t>
      </w:r>
      <w:r w:rsidRPr="00600E61">
        <w:rPr>
          <w:rFonts w:ascii="Arial" w:hAnsi="Arial" w:cs="Arial"/>
        </w:rPr>
        <w:t>convene a meeting if they consider it</w:t>
      </w:r>
      <w:r w:rsidRPr="00EC1F6F">
        <w:rPr>
          <w:rFonts w:ascii="Arial" w:hAnsi="Arial" w:cs="Arial"/>
        </w:rPr>
        <w:t xml:space="preserve"> </w:t>
      </w:r>
      <w:r w:rsidRPr="00600E61">
        <w:rPr>
          <w:rFonts w:ascii="Arial" w:hAnsi="Arial" w:cs="Arial"/>
        </w:rPr>
        <w:t>necessary.</w:t>
      </w:r>
    </w:p>
    <w:p w14:paraId="0777843B" w14:textId="77777777" w:rsidR="000C40EC" w:rsidRDefault="000C40EC" w:rsidP="005930DA">
      <w:pPr>
        <w:pStyle w:val="ListParagraph"/>
        <w:ind w:left="567" w:hanging="567"/>
        <w:jc w:val="both"/>
        <w:rPr>
          <w:rFonts w:ascii="Arial" w:hAnsi="Arial" w:cs="Arial"/>
        </w:rPr>
      </w:pPr>
    </w:p>
    <w:p w14:paraId="032B104A" w14:textId="67EC8B22" w:rsidR="000C40EC" w:rsidRDefault="001B7C40" w:rsidP="005930DA">
      <w:pPr>
        <w:pStyle w:val="ListParagraph"/>
        <w:numPr>
          <w:ilvl w:val="1"/>
          <w:numId w:val="8"/>
        </w:numPr>
        <w:ind w:left="567" w:hanging="567"/>
        <w:jc w:val="both"/>
        <w:rPr>
          <w:rFonts w:ascii="Arial" w:hAnsi="Arial" w:cs="Arial"/>
        </w:rPr>
      </w:pPr>
      <w:r>
        <w:rPr>
          <w:rFonts w:ascii="Arial" w:hAnsi="Arial" w:cs="Arial"/>
        </w:rPr>
        <w:t>N</w:t>
      </w:r>
      <w:r w:rsidR="00D90F40" w:rsidRPr="000C40EC">
        <w:rPr>
          <w:rFonts w:ascii="Arial" w:hAnsi="Arial" w:cs="Arial"/>
        </w:rPr>
        <w:t xml:space="preserve">otice of each meeting confirming the venue, time and date together with an agenda, shall be </w:t>
      </w:r>
      <w:r>
        <w:rPr>
          <w:rFonts w:ascii="Arial" w:hAnsi="Arial" w:cs="Arial"/>
        </w:rPr>
        <w:t>sent</w:t>
      </w:r>
      <w:r w:rsidRPr="000C40EC">
        <w:rPr>
          <w:rFonts w:ascii="Arial" w:hAnsi="Arial" w:cs="Arial"/>
        </w:rPr>
        <w:t xml:space="preserve"> </w:t>
      </w:r>
      <w:r w:rsidR="00D90F40" w:rsidRPr="000C40EC">
        <w:rPr>
          <w:rFonts w:ascii="Arial" w:hAnsi="Arial" w:cs="Arial"/>
        </w:rPr>
        <w:t>to</w:t>
      </w:r>
      <w:r w:rsidR="00D90F40" w:rsidRPr="00EC1F6F">
        <w:rPr>
          <w:rFonts w:ascii="Arial" w:hAnsi="Arial" w:cs="Arial"/>
        </w:rPr>
        <w:t xml:space="preserve"> </w:t>
      </w:r>
      <w:r w:rsidR="00D90F40" w:rsidRPr="000C40EC">
        <w:rPr>
          <w:rFonts w:ascii="Arial" w:hAnsi="Arial" w:cs="Arial"/>
        </w:rPr>
        <w:t>Committee</w:t>
      </w:r>
      <w:r>
        <w:rPr>
          <w:rFonts w:ascii="Arial" w:hAnsi="Arial" w:cs="Arial"/>
        </w:rPr>
        <w:t xml:space="preserve"> members and</w:t>
      </w:r>
      <w:r w:rsidR="00D90F40" w:rsidRPr="000C40EC">
        <w:rPr>
          <w:rFonts w:ascii="Arial" w:hAnsi="Arial" w:cs="Arial"/>
        </w:rPr>
        <w:t xml:space="preserve"> any other</w:t>
      </w:r>
      <w:r>
        <w:rPr>
          <w:rFonts w:ascii="Arial" w:hAnsi="Arial" w:cs="Arial"/>
        </w:rPr>
        <w:t xml:space="preserve"> attendees</w:t>
      </w:r>
      <w:r w:rsidR="00D90F40" w:rsidRPr="000C40EC">
        <w:rPr>
          <w:rFonts w:ascii="Arial" w:hAnsi="Arial" w:cs="Arial"/>
        </w:rPr>
        <w:t>, no later than five working days before the date of the meeting</w:t>
      </w:r>
      <w:r w:rsidR="00C12DEC">
        <w:rPr>
          <w:rFonts w:ascii="Arial" w:hAnsi="Arial" w:cs="Arial"/>
        </w:rPr>
        <w:t>,</w:t>
      </w:r>
      <w:r w:rsidR="00D90F40" w:rsidRPr="000C40EC">
        <w:rPr>
          <w:rFonts w:ascii="Arial" w:hAnsi="Arial" w:cs="Arial"/>
        </w:rPr>
        <w:t xml:space="preserve"> or </w:t>
      </w:r>
      <w:r>
        <w:rPr>
          <w:rFonts w:ascii="Arial" w:hAnsi="Arial" w:cs="Arial"/>
        </w:rPr>
        <w:t xml:space="preserve">as </w:t>
      </w:r>
      <w:r w:rsidR="00D90F40" w:rsidRPr="000C40EC">
        <w:rPr>
          <w:rFonts w:ascii="Arial" w:hAnsi="Arial" w:cs="Arial"/>
        </w:rPr>
        <w:t xml:space="preserve">otherwise </w:t>
      </w:r>
      <w:r>
        <w:rPr>
          <w:rFonts w:ascii="Arial" w:hAnsi="Arial" w:cs="Arial"/>
        </w:rPr>
        <w:t>agreed with the Committee Chair.</w:t>
      </w:r>
      <w:r w:rsidR="00D90F40" w:rsidRPr="000C40EC">
        <w:rPr>
          <w:rFonts w:ascii="Arial" w:hAnsi="Arial" w:cs="Arial"/>
        </w:rPr>
        <w:t>.</w:t>
      </w:r>
    </w:p>
    <w:p w14:paraId="261C9D48" w14:textId="77777777" w:rsidR="000C40EC" w:rsidRPr="000C40EC" w:rsidRDefault="000C40EC" w:rsidP="005930DA">
      <w:pPr>
        <w:pStyle w:val="ListParagraph"/>
        <w:ind w:left="567" w:hanging="567"/>
        <w:jc w:val="both"/>
        <w:rPr>
          <w:rFonts w:ascii="Arial" w:hAnsi="Arial" w:cs="Arial"/>
        </w:rPr>
      </w:pPr>
    </w:p>
    <w:p w14:paraId="27D22C2B" w14:textId="49B3FB53" w:rsidR="000C40EC" w:rsidRDefault="00D90F40" w:rsidP="005930DA">
      <w:pPr>
        <w:pStyle w:val="ListParagraph"/>
        <w:numPr>
          <w:ilvl w:val="1"/>
          <w:numId w:val="8"/>
        </w:numPr>
        <w:ind w:left="567" w:hanging="567"/>
        <w:jc w:val="both"/>
        <w:rPr>
          <w:rFonts w:ascii="Arial" w:hAnsi="Arial" w:cs="Arial"/>
        </w:rPr>
      </w:pPr>
      <w:r w:rsidRPr="000C40EC">
        <w:rPr>
          <w:rFonts w:ascii="Arial" w:hAnsi="Arial" w:cs="Arial"/>
        </w:rPr>
        <w:t xml:space="preserve">Supporting papers shall be sent to Committee members and to other attendees </w:t>
      </w:r>
      <w:r w:rsidR="001B7C40">
        <w:rPr>
          <w:rFonts w:ascii="Arial" w:hAnsi="Arial" w:cs="Arial"/>
        </w:rPr>
        <w:t xml:space="preserve">in a timely fashion or </w:t>
      </w:r>
      <w:r w:rsidRPr="000C40EC">
        <w:rPr>
          <w:rFonts w:ascii="Arial" w:hAnsi="Arial" w:cs="Arial"/>
        </w:rPr>
        <w:t>at shorter notice with the approval of the Committee</w:t>
      </w:r>
      <w:r w:rsidRPr="00EC1F6F">
        <w:rPr>
          <w:rFonts w:ascii="Arial" w:hAnsi="Arial" w:cs="Arial"/>
        </w:rPr>
        <w:t xml:space="preserve"> </w:t>
      </w:r>
      <w:r w:rsidRPr="000C40EC">
        <w:rPr>
          <w:rFonts w:ascii="Arial" w:hAnsi="Arial" w:cs="Arial"/>
        </w:rPr>
        <w:t>Chair.</w:t>
      </w:r>
    </w:p>
    <w:p w14:paraId="518B1CC8" w14:textId="77777777" w:rsidR="00C12DEC" w:rsidRPr="006F37D0" w:rsidRDefault="00C12DEC" w:rsidP="005930DA">
      <w:pPr>
        <w:pStyle w:val="ListParagraph"/>
        <w:ind w:left="567" w:right="-42" w:hanging="567"/>
        <w:jc w:val="both"/>
        <w:rPr>
          <w:rFonts w:ascii="Arial" w:hAnsi="Arial" w:cs="Arial"/>
        </w:rPr>
      </w:pPr>
    </w:p>
    <w:p w14:paraId="3B71325F" w14:textId="77777777" w:rsidR="00F10200" w:rsidRPr="00600E61" w:rsidRDefault="00D90F40" w:rsidP="00A90757">
      <w:pPr>
        <w:pStyle w:val="Heading1"/>
        <w:numPr>
          <w:ilvl w:val="0"/>
          <w:numId w:val="3"/>
        </w:numPr>
        <w:ind w:left="709"/>
        <w:jc w:val="both"/>
        <w:rPr>
          <w:rFonts w:ascii="Arial" w:hAnsi="Arial" w:cs="Arial"/>
        </w:rPr>
      </w:pPr>
      <w:r w:rsidRPr="00600E61">
        <w:rPr>
          <w:rFonts w:ascii="Arial" w:hAnsi="Arial" w:cs="Arial"/>
        </w:rPr>
        <w:lastRenderedPageBreak/>
        <w:t>Minutes of</w:t>
      </w:r>
      <w:r w:rsidRPr="00EC1F6F">
        <w:rPr>
          <w:rFonts w:ascii="Arial" w:hAnsi="Arial" w:cs="Arial"/>
        </w:rPr>
        <w:t xml:space="preserve"> </w:t>
      </w:r>
      <w:r w:rsidRPr="00600E61">
        <w:rPr>
          <w:rFonts w:ascii="Arial" w:hAnsi="Arial" w:cs="Arial"/>
        </w:rPr>
        <w:t>Meetings</w:t>
      </w:r>
    </w:p>
    <w:p w14:paraId="78CF5073" w14:textId="77777777" w:rsidR="00EC1F6F" w:rsidRPr="00EC1F6F" w:rsidRDefault="00EC1F6F" w:rsidP="005930DA">
      <w:pPr>
        <w:pStyle w:val="ListParagraph"/>
        <w:ind w:left="709"/>
        <w:jc w:val="both"/>
        <w:rPr>
          <w:rFonts w:ascii="Arial" w:hAnsi="Arial" w:cs="Arial"/>
        </w:rPr>
      </w:pPr>
    </w:p>
    <w:p w14:paraId="0E88BA72" w14:textId="77777777" w:rsidR="00EC1F6F" w:rsidRPr="00EC1F6F" w:rsidRDefault="00EC1F6F" w:rsidP="005930DA">
      <w:pPr>
        <w:pStyle w:val="ListParagraph"/>
        <w:numPr>
          <w:ilvl w:val="0"/>
          <w:numId w:val="8"/>
        </w:numPr>
        <w:ind w:left="709"/>
        <w:jc w:val="both"/>
        <w:rPr>
          <w:rFonts w:ascii="Arial" w:hAnsi="Arial" w:cs="Arial"/>
          <w:vanish/>
        </w:rPr>
      </w:pPr>
    </w:p>
    <w:p w14:paraId="4E35392D" w14:textId="31FD94AC" w:rsidR="000C40EC" w:rsidRDefault="00D90F40" w:rsidP="005930DA">
      <w:pPr>
        <w:pStyle w:val="ListParagraph"/>
        <w:numPr>
          <w:ilvl w:val="1"/>
          <w:numId w:val="8"/>
        </w:numPr>
        <w:ind w:left="709"/>
        <w:jc w:val="both"/>
        <w:rPr>
          <w:rFonts w:ascii="Arial" w:hAnsi="Arial" w:cs="Arial"/>
        </w:rPr>
      </w:pPr>
      <w:r w:rsidRPr="00600E61">
        <w:rPr>
          <w:rFonts w:ascii="Arial" w:hAnsi="Arial" w:cs="Arial"/>
        </w:rPr>
        <w:t xml:space="preserve">The Secretary shall minute the proceedings and </w:t>
      </w:r>
      <w:r w:rsidR="001B7C40">
        <w:rPr>
          <w:rFonts w:ascii="Arial" w:hAnsi="Arial" w:cs="Arial"/>
        </w:rPr>
        <w:t>decisions</w:t>
      </w:r>
      <w:r w:rsidR="001B7C40" w:rsidRPr="00600E61">
        <w:rPr>
          <w:rFonts w:ascii="Arial" w:hAnsi="Arial" w:cs="Arial"/>
        </w:rPr>
        <w:t xml:space="preserve"> </w:t>
      </w:r>
      <w:r w:rsidRPr="00600E61">
        <w:rPr>
          <w:rFonts w:ascii="Arial" w:hAnsi="Arial" w:cs="Arial"/>
        </w:rPr>
        <w:t xml:space="preserve">of all </w:t>
      </w:r>
      <w:r w:rsidR="00D73117">
        <w:rPr>
          <w:rFonts w:ascii="Arial" w:hAnsi="Arial" w:cs="Arial"/>
        </w:rPr>
        <w:t xml:space="preserve">Committee </w:t>
      </w:r>
      <w:r w:rsidRPr="00600E61">
        <w:rPr>
          <w:rFonts w:ascii="Arial" w:hAnsi="Arial" w:cs="Arial"/>
        </w:rPr>
        <w:t>meetings, including the names of those present and in</w:t>
      </w:r>
      <w:r w:rsidRPr="00EC1F6F">
        <w:rPr>
          <w:rFonts w:ascii="Arial" w:hAnsi="Arial" w:cs="Arial"/>
        </w:rPr>
        <w:t xml:space="preserve"> </w:t>
      </w:r>
      <w:r w:rsidRPr="00600E61">
        <w:rPr>
          <w:rFonts w:ascii="Arial" w:hAnsi="Arial" w:cs="Arial"/>
        </w:rPr>
        <w:t>attendance.</w:t>
      </w:r>
    </w:p>
    <w:p w14:paraId="16361E5E" w14:textId="77777777" w:rsidR="000C40EC" w:rsidRDefault="000C40EC" w:rsidP="005930DA">
      <w:pPr>
        <w:pStyle w:val="ListParagraph"/>
        <w:tabs>
          <w:tab w:val="left" w:pos="821"/>
        </w:tabs>
        <w:ind w:left="709"/>
        <w:jc w:val="both"/>
        <w:rPr>
          <w:rFonts w:ascii="Arial" w:hAnsi="Arial" w:cs="Arial"/>
        </w:rPr>
      </w:pPr>
    </w:p>
    <w:p w14:paraId="54A3E22F" w14:textId="333F5DB6" w:rsidR="000C40EC" w:rsidRDefault="00D73117" w:rsidP="005930DA">
      <w:pPr>
        <w:pStyle w:val="ListParagraph"/>
        <w:numPr>
          <w:ilvl w:val="1"/>
          <w:numId w:val="8"/>
        </w:numPr>
        <w:ind w:left="709"/>
        <w:jc w:val="both"/>
        <w:rPr>
          <w:rFonts w:ascii="Arial" w:hAnsi="Arial" w:cs="Arial"/>
        </w:rPr>
      </w:pPr>
      <w:r>
        <w:rPr>
          <w:rFonts w:ascii="Arial" w:hAnsi="Arial" w:cs="Arial"/>
        </w:rPr>
        <w:t>Draft m</w:t>
      </w:r>
      <w:r w:rsidR="00D90F40" w:rsidRPr="000C40EC">
        <w:rPr>
          <w:rFonts w:ascii="Arial" w:hAnsi="Arial" w:cs="Arial"/>
        </w:rPr>
        <w:t xml:space="preserve">inutes of Committee meetings shall be circulated to all members of the Committee </w:t>
      </w:r>
      <w:r w:rsidR="001B7C40">
        <w:rPr>
          <w:rFonts w:ascii="Arial" w:hAnsi="Arial" w:cs="Arial"/>
        </w:rPr>
        <w:t>in the next meeting pack</w:t>
      </w:r>
      <w:r w:rsidR="00D90F40" w:rsidRPr="000C40EC">
        <w:rPr>
          <w:rFonts w:ascii="Arial" w:hAnsi="Arial" w:cs="Arial"/>
        </w:rPr>
        <w:t>, unless a conflict of interest</w:t>
      </w:r>
      <w:r w:rsidR="00D90F40" w:rsidRPr="00EC1F6F">
        <w:rPr>
          <w:rFonts w:ascii="Arial" w:hAnsi="Arial" w:cs="Arial"/>
        </w:rPr>
        <w:t xml:space="preserve"> </w:t>
      </w:r>
      <w:r w:rsidR="00D90F40" w:rsidRPr="000C40EC">
        <w:rPr>
          <w:rFonts w:ascii="Arial" w:hAnsi="Arial" w:cs="Arial"/>
        </w:rPr>
        <w:t>exists.</w:t>
      </w:r>
    </w:p>
    <w:p w14:paraId="4BC992D9" w14:textId="77777777" w:rsidR="001E0531" w:rsidRPr="005930DA" w:rsidRDefault="001E0531" w:rsidP="005930DA">
      <w:pPr>
        <w:jc w:val="both"/>
        <w:rPr>
          <w:rFonts w:ascii="Arial" w:hAnsi="Arial" w:cs="Arial"/>
        </w:rPr>
      </w:pPr>
    </w:p>
    <w:p w14:paraId="6706DC75" w14:textId="7EFC7171" w:rsidR="00751964" w:rsidRDefault="00751964">
      <w:pPr>
        <w:pStyle w:val="ListParagraph"/>
        <w:numPr>
          <w:ilvl w:val="1"/>
          <w:numId w:val="8"/>
        </w:numPr>
        <w:ind w:left="709"/>
        <w:jc w:val="both"/>
        <w:rPr>
          <w:rFonts w:ascii="Arial" w:hAnsi="Arial" w:cs="Arial"/>
        </w:rPr>
      </w:pPr>
      <w:r w:rsidRPr="000C40EC">
        <w:rPr>
          <w:rFonts w:ascii="Arial" w:hAnsi="Arial" w:cs="Arial"/>
        </w:rPr>
        <w:t>Where required due to urgency or expediency, a decision may be recorded and agreed by all the members of the Committee electronically by email. Such a decision will be as effective as a resolution passed at a Committee meeting.</w:t>
      </w:r>
    </w:p>
    <w:p w14:paraId="1A2075C0" w14:textId="77777777" w:rsidR="001E0531" w:rsidRPr="005930DA" w:rsidRDefault="001E0531" w:rsidP="005930DA">
      <w:pPr>
        <w:jc w:val="both"/>
        <w:rPr>
          <w:rFonts w:ascii="Arial" w:hAnsi="Arial" w:cs="Arial"/>
        </w:rPr>
      </w:pPr>
    </w:p>
    <w:p w14:paraId="1781F05B" w14:textId="4EF331EB" w:rsidR="00F10200" w:rsidRDefault="00D90F40" w:rsidP="00A90757">
      <w:pPr>
        <w:pStyle w:val="Heading1"/>
        <w:numPr>
          <w:ilvl w:val="0"/>
          <w:numId w:val="3"/>
        </w:numPr>
        <w:ind w:left="709"/>
        <w:jc w:val="both"/>
        <w:rPr>
          <w:rFonts w:ascii="Arial" w:hAnsi="Arial" w:cs="Arial"/>
        </w:rPr>
      </w:pPr>
      <w:r w:rsidRPr="00600E61">
        <w:rPr>
          <w:rFonts w:ascii="Arial" w:hAnsi="Arial" w:cs="Arial"/>
        </w:rPr>
        <w:t>Annual General</w:t>
      </w:r>
      <w:r w:rsidRPr="00EC1F6F">
        <w:rPr>
          <w:rFonts w:ascii="Arial" w:hAnsi="Arial" w:cs="Arial"/>
        </w:rPr>
        <w:t xml:space="preserve"> </w:t>
      </w:r>
      <w:r w:rsidRPr="00600E61">
        <w:rPr>
          <w:rFonts w:ascii="Arial" w:hAnsi="Arial" w:cs="Arial"/>
        </w:rPr>
        <w:t>Meeting</w:t>
      </w:r>
    </w:p>
    <w:p w14:paraId="62CEEB2C" w14:textId="77777777" w:rsidR="0004176A" w:rsidRPr="00600E61" w:rsidRDefault="0004176A" w:rsidP="005930DA">
      <w:pPr>
        <w:pStyle w:val="Heading1"/>
        <w:tabs>
          <w:tab w:val="left" w:pos="820"/>
          <w:tab w:val="left" w:pos="821"/>
        </w:tabs>
        <w:ind w:left="709"/>
        <w:jc w:val="both"/>
        <w:rPr>
          <w:rFonts w:ascii="Arial" w:hAnsi="Arial" w:cs="Arial"/>
        </w:rPr>
      </w:pPr>
    </w:p>
    <w:p w14:paraId="3804EE60" w14:textId="77777777" w:rsidR="00EC1F6F" w:rsidRPr="00EC1F6F" w:rsidRDefault="00EC1F6F" w:rsidP="005930DA">
      <w:pPr>
        <w:pStyle w:val="ListParagraph"/>
        <w:numPr>
          <w:ilvl w:val="0"/>
          <w:numId w:val="8"/>
        </w:numPr>
        <w:ind w:left="709"/>
        <w:jc w:val="both"/>
        <w:rPr>
          <w:rFonts w:ascii="Arial" w:hAnsi="Arial" w:cs="Arial"/>
          <w:vanish/>
        </w:rPr>
      </w:pPr>
    </w:p>
    <w:p w14:paraId="52440991" w14:textId="359902EC" w:rsidR="00F10200" w:rsidRPr="006F37D0" w:rsidRDefault="00D90F40" w:rsidP="005930DA">
      <w:pPr>
        <w:pStyle w:val="ListParagraph"/>
        <w:numPr>
          <w:ilvl w:val="1"/>
          <w:numId w:val="8"/>
        </w:numPr>
        <w:ind w:left="709"/>
        <w:jc w:val="both"/>
        <w:rPr>
          <w:rFonts w:ascii="Arial" w:hAnsi="Arial" w:cs="Arial"/>
        </w:rPr>
      </w:pPr>
      <w:r w:rsidRPr="00600E61">
        <w:rPr>
          <w:rFonts w:ascii="Arial" w:hAnsi="Arial" w:cs="Arial"/>
        </w:rPr>
        <w:t>The Committee</w:t>
      </w:r>
      <w:r w:rsidR="00D73117">
        <w:rPr>
          <w:rFonts w:ascii="Arial" w:hAnsi="Arial" w:cs="Arial"/>
        </w:rPr>
        <w:t xml:space="preserve"> Chair</w:t>
      </w:r>
      <w:r w:rsidRPr="00600E61">
        <w:rPr>
          <w:rFonts w:ascii="Arial" w:hAnsi="Arial" w:cs="Arial"/>
        </w:rPr>
        <w:t xml:space="preserve"> shall attend the Annual General Meeting to respond to any shareholder questions on the Committee's activities.</w:t>
      </w:r>
    </w:p>
    <w:p w14:paraId="4D775DC7" w14:textId="77777777" w:rsidR="001B7C40" w:rsidRDefault="001B7C40" w:rsidP="004B5BE2">
      <w:pPr>
        <w:pStyle w:val="Heading1"/>
        <w:ind w:left="709" w:firstLine="0"/>
        <w:jc w:val="both"/>
        <w:rPr>
          <w:rFonts w:ascii="Arial" w:hAnsi="Arial" w:cs="Arial"/>
        </w:rPr>
      </w:pPr>
    </w:p>
    <w:p w14:paraId="172FE043" w14:textId="4117E9F6" w:rsidR="00F10200" w:rsidRPr="00600E61" w:rsidRDefault="00D90F40" w:rsidP="00A90757">
      <w:pPr>
        <w:pStyle w:val="Heading1"/>
        <w:numPr>
          <w:ilvl w:val="0"/>
          <w:numId w:val="3"/>
        </w:numPr>
        <w:ind w:left="709"/>
        <w:jc w:val="both"/>
        <w:rPr>
          <w:rFonts w:ascii="Arial" w:hAnsi="Arial" w:cs="Arial"/>
        </w:rPr>
      </w:pPr>
      <w:r w:rsidRPr="00600E61">
        <w:rPr>
          <w:rFonts w:ascii="Arial" w:hAnsi="Arial" w:cs="Arial"/>
        </w:rPr>
        <w:t>Reporting</w:t>
      </w:r>
      <w:r w:rsidRPr="00EC1F6F">
        <w:rPr>
          <w:rFonts w:ascii="Arial" w:hAnsi="Arial" w:cs="Arial"/>
        </w:rPr>
        <w:t xml:space="preserve"> </w:t>
      </w:r>
      <w:r w:rsidR="00830D9F" w:rsidRPr="00600E61">
        <w:rPr>
          <w:rFonts w:ascii="Arial" w:hAnsi="Arial" w:cs="Arial"/>
        </w:rPr>
        <w:t>R</w:t>
      </w:r>
      <w:r w:rsidRPr="00600E61">
        <w:rPr>
          <w:rFonts w:ascii="Arial" w:hAnsi="Arial" w:cs="Arial"/>
        </w:rPr>
        <w:t>esponsibilities</w:t>
      </w:r>
    </w:p>
    <w:p w14:paraId="22BB22FD" w14:textId="77777777" w:rsidR="00F10200" w:rsidRPr="00EC1F6F" w:rsidRDefault="00F10200" w:rsidP="005930DA">
      <w:pPr>
        <w:pStyle w:val="ListParagraph"/>
        <w:ind w:left="709"/>
        <w:jc w:val="both"/>
        <w:rPr>
          <w:rFonts w:ascii="Arial" w:hAnsi="Arial" w:cs="Arial"/>
        </w:rPr>
      </w:pPr>
    </w:p>
    <w:p w14:paraId="4BC3A089" w14:textId="77777777" w:rsidR="00EC1F6F" w:rsidRPr="00EC1F6F" w:rsidRDefault="00EC1F6F" w:rsidP="005930DA">
      <w:pPr>
        <w:pStyle w:val="ListParagraph"/>
        <w:numPr>
          <w:ilvl w:val="0"/>
          <w:numId w:val="8"/>
        </w:numPr>
        <w:ind w:left="709"/>
        <w:jc w:val="both"/>
        <w:rPr>
          <w:rFonts w:ascii="Arial" w:hAnsi="Arial" w:cs="Arial"/>
          <w:vanish/>
        </w:rPr>
      </w:pPr>
    </w:p>
    <w:p w14:paraId="4B244C45" w14:textId="3A8B1567" w:rsidR="000C40EC" w:rsidRDefault="00D90F40" w:rsidP="005930DA">
      <w:pPr>
        <w:pStyle w:val="ListParagraph"/>
        <w:numPr>
          <w:ilvl w:val="1"/>
          <w:numId w:val="8"/>
        </w:numPr>
        <w:ind w:left="709"/>
        <w:jc w:val="both"/>
        <w:rPr>
          <w:rFonts w:ascii="Arial" w:hAnsi="Arial" w:cs="Arial"/>
        </w:rPr>
      </w:pPr>
      <w:r w:rsidRPr="00600E61">
        <w:rPr>
          <w:rFonts w:ascii="Arial" w:hAnsi="Arial" w:cs="Arial"/>
        </w:rPr>
        <w:t xml:space="preserve">The Committee Chair shall report formally to the Board </w:t>
      </w:r>
      <w:r w:rsidR="001B7C40">
        <w:rPr>
          <w:rFonts w:ascii="Arial" w:hAnsi="Arial" w:cs="Arial"/>
        </w:rPr>
        <w:t>after each meeting on the content of its discussion, recommendations and actions to be taken.</w:t>
      </w:r>
      <w:r w:rsidRPr="00600E61">
        <w:rPr>
          <w:rFonts w:ascii="Arial" w:hAnsi="Arial" w:cs="Arial"/>
        </w:rPr>
        <w:t>.</w:t>
      </w:r>
      <w:r w:rsidR="00941F04" w:rsidRPr="00600E61">
        <w:rPr>
          <w:rFonts w:ascii="Arial" w:hAnsi="Arial" w:cs="Arial"/>
        </w:rPr>
        <w:t xml:space="preserve"> In relation to</w:t>
      </w:r>
      <w:r w:rsidR="0070441B" w:rsidRPr="00600E61">
        <w:rPr>
          <w:rFonts w:ascii="Arial" w:hAnsi="Arial" w:cs="Arial"/>
        </w:rPr>
        <w:t xml:space="preserve"> </w:t>
      </w:r>
      <w:r w:rsidR="004B5BE2">
        <w:rPr>
          <w:rFonts w:ascii="Arial" w:hAnsi="Arial" w:cs="Arial"/>
        </w:rPr>
        <w:t>IGM</w:t>
      </w:r>
      <w:r w:rsidR="00AF27DC">
        <w:rPr>
          <w:rFonts w:ascii="Arial" w:hAnsi="Arial" w:cs="Arial"/>
        </w:rPr>
        <w:t xml:space="preserve">, </w:t>
      </w:r>
      <w:r w:rsidR="004B5BE2">
        <w:rPr>
          <w:rFonts w:ascii="Arial" w:hAnsi="Arial" w:cs="Arial"/>
        </w:rPr>
        <w:t>IGI</w:t>
      </w:r>
      <w:r w:rsidR="00AF27DC">
        <w:rPr>
          <w:rFonts w:ascii="Arial" w:hAnsi="Arial" w:cs="Arial"/>
        </w:rPr>
        <w:t xml:space="preserve"> and </w:t>
      </w:r>
      <w:r w:rsidR="004B5BE2">
        <w:rPr>
          <w:rFonts w:ascii="Arial" w:hAnsi="Arial" w:cs="Arial"/>
        </w:rPr>
        <w:t>IG T&amp;I</w:t>
      </w:r>
      <w:r w:rsidR="00941F04" w:rsidRPr="00600E61">
        <w:rPr>
          <w:rFonts w:ascii="Arial" w:hAnsi="Arial" w:cs="Arial"/>
        </w:rPr>
        <w:t xml:space="preserve">, the Chair shall provide periodic reports on relevant matters to </w:t>
      </w:r>
      <w:r w:rsidR="003F6447" w:rsidRPr="00600E61">
        <w:rPr>
          <w:rFonts w:ascii="Arial" w:hAnsi="Arial" w:cs="Arial"/>
        </w:rPr>
        <w:t xml:space="preserve">the </w:t>
      </w:r>
      <w:r w:rsidR="00C573AD" w:rsidRPr="00600E61">
        <w:rPr>
          <w:rFonts w:ascii="Arial" w:hAnsi="Arial" w:cs="Arial"/>
        </w:rPr>
        <w:t>b</w:t>
      </w:r>
      <w:r w:rsidR="003F6447" w:rsidRPr="00600E61">
        <w:rPr>
          <w:rFonts w:ascii="Arial" w:hAnsi="Arial" w:cs="Arial"/>
        </w:rPr>
        <w:t>oard</w:t>
      </w:r>
      <w:r w:rsidR="00750B0D" w:rsidRPr="00600E61">
        <w:rPr>
          <w:rFonts w:ascii="Arial" w:hAnsi="Arial" w:cs="Arial"/>
        </w:rPr>
        <w:t>s</w:t>
      </w:r>
      <w:r w:rsidR="003F6447" w:rsidRPr="00600E61">
        <w:rPr>
          <w:rFonts w:ascii="Arial" w:hAnsi="Arial" w:cs="Arial"/>
        </w:rPr>
        <w:t xml:space="preserve"> of </w:t>
      </w:r>
      <w:r w:rsidR="00C573AD" w:rsidRPr="00600E61">
        <w:rPr>
          <w:rFonts w:ascii="Arial" w:hAnsi="Arial" w:cs="Arial"/>
        </w:rPr>
        <w:t>d</w:t>
      </w:r>
      <w:r w:rsidR="003F6447" w:rsidRPr="00600E61">
        <w:rPr>
          <w:rFonts w:ascii="Arial" w:hAnsi="Arial" w:cs="Arial"/>
        </w:rPr>
        <w:t xml:space="preserve">irectors of </w:t>
      </w:r>
      <w:r w:rsidR="00941F04" w:rsidRPr="00600E61">
        <w:rPr>
          <w:rFonts w:ascii="Arial" w:hAnsi="Arial" w:cs="Arial"/>
        </w:rPr>
        <w:t xml:space="preserve">those entities, including advising their respective management bodies of the matters considered </w:t>
      </w:r>
      <w:r w:rsidR="00FF74C5" w:rsidRPr="00600E61">
        <w:rPr>
          <w:rFonts w:ascii="Arial" w:hAnsi="Arial" w:cs="Arial"/>
        </w:rPr>
        <w:t>i</w:t>
      </w:r>
      <w:r w:rsidR="00941F04" w:rsidRPr="00600E61">
        <w:rPr>
          <w:rFonts w:ascii="Arial" w:hAnsi="Arial" w:cs="Arial"/>
        </w:rPr>
        <w:t>n accordance with</w:t>
      </w:r>
      <w:r w:rsidR="00D91837">
        <w:rPr>
          <w:rFonts w:ascii="Arial" w:hAnsi="Arial" w:cs="Arial"/>
        </w:rPr>
        <w:t xml:space="preserve"> MIFIDPRU 7.3 (formerly </w:t>
      </w:r>
      <w:r w:rsidR="00941F04" w:rsidRPr="00600E61">
        <w:rPr>
          <w:rFonts w:ascii="Arial" w:hAnsi="Arial" w:cs="Arial"/>
        </w:rPr>
        <w:t>SYSC 7</w:t>
      </w:r>
      <w:r w:rsidR="00D91837">
        <w:rPr>
          <w:rFonts w:ascii="Arial" w:hAnsi="Arial" w:cs="Arial"/>
        </w:rPr>
        <w:t>)</w:t>
      </w:r>
      <w:r w:rsidR="00941F04" w:rsidRPr="00600E61">
        <w:rPr>
          <w:rFonts w:ascii="Arial" w:hAnsi="Arial" w:cs="Arial"/>
        </w:rPr>
        <w:t>.</w:t>
      </w:r>
    </w:p>
    <w:p w14:paraId="00E5EDDE" w14:textId="77777777" w:rsidR="000C40EC" w:rsidRPr="000C40EC" w:rsidRDefault="000C40EC" w:rsidP="005930DA">
      <w:pPr>
        <w:pStyle w:val="ListParagraph"/>
        <w:ind w:left="709"/>
        <w:jc w:val="both"/>
        <w:rPr>
          <w:rFonts w:ascii="Arial" w:hAnsi="Arial" w:cs="Arial"/>
        </w:rPr>
      </w:pPr>
    </w:p>
    <w:p w14:paraId="238F033E" w14:textId="435E2833" w:rsidR="000C40EC" w:rsidRDefault="00D90F40" w:rsidP="005930DA">
      <w:pPr>
        <w:pStyle w:val="ListParagraph"/>
        <w:numPr>
          <w:ilvl w:val="1"/>
          <w:numId w:val="8"/>
        </w:numPr>
        <w:tabs>
          <w:tab w:val="left" w:pos="821"/>
        </w:tabs>
        <w:ind w:left="709"/>
        <w:jc w:val="both"/>
        <w:rPr>
          <w:rFonts w:ascii="Arial" w:hAnsi="Arial" w:cs="Arial"/>
        </w:rPr>
      </w:pPr>
      <w:r w:rsidRPr="000C40EC">
        <w:rPr>
          <w:rFonts w:ascii="Arial" w:hAnsi="Arial" w:cs="Arial"/>
        </w:rPr>
        <w:t xml:space="preserve">The Committee shall </w:t>
      </w:r>
      <w:r w:rsidR="004B5BE2">
        <w:rPr>
          <w:rFonts w:ascii="Arial" w:hAnsi="Arial" w:cs="Arial"/>
        </w:rPr>
        <w:t>produce</w:t>
      </w:r>
      <w:r w:rsidR="004B5BE2" w:rsidRPr="000C40EC">
        <w:rPr>
          <w:rFonts w:ascii="Arial" w:hAnsi="Arial" w:cs="Arial"/>
        </w:rPr>
        <w:t xml:space="preserve"> </w:t>
      </w:r>
      <w:r w:rsidRPr="000C40EC">
        <w:rPr>
          <w:rFonts w:ascii="Arial" w:hAnsi="Arial" w:cs="Arial"/>
        </w:rPr>
        <w:t>a report</w:t>
      </w:r>
      <w:r w:rsidR="004B5BE2">
        <w:rPr>
          <w:rFonts w:ascii="Arial" w:hAnsi="Arial" w:cs="Arial"/>
        </w:rPr>
        <w:t xml:space="preserve"> to be included in the IGGH Annual Report describing the work of the Committee, including </w:t>
      </w:r>
      <w:r w:rsidRPr="000C40EC">
        <w:rPr>
          <w:rFonts w:ascii="Arial" w:hAnsi="Arial" w:cs="Arial"/>
        </w:rPr>
        <w:t xml:space="preserve">the </w:t>
      </w:r>
      <w:r w:rsidR="00D73117">
        <w:rPr>
          <w:rFonts w:ascii="Arial" w:hAnsi="Arial" w:cs="Arial"/>
        </w:rPr>
        <w:t>G</w:t>
      </w:r>
      <w:r w:rsidRPr="000C40EC">
        <w:rPr>
          <w:rFonts w:ascii="Arial" w:hAnsi="Arial" w:cs="Arial"/>
        </w:rPr>
        <w:t>roup’s risk management</w:t>
      </w:r>
      <w:r w:rsidRPr="000C40EC">
        <w:rPr>
          <w:rFonts w:ascii="Arial" w:hAnsi="Arial" w:cs="Arial"/>
          <w:spacing w:val="-10"/>
        </w:rPr>
        <w:t xml:space="preserve"> </w:t>
      </w:r>
      <w:r w:rsidRPr="000C40EC">
        <w:rPr>
          <w:rFonts w:ascii="Arial" w:hAnsi="Arial" w:cs="Arial"/>
        </w:rPr>
        <w:t>framework,</w:t>
      </w:r>
      <w:r w:rsidRPr="000C40EC">
        <w:rPr>
          <w:rFonts w:ascii="Arial" w:hAnsi="Arial" w:cs="Arial"/>
          <w:spacing w:val="-10"/>
        </w:rPr>
        <w:t xml:space="preserve"> </w:t>
      </w:r>
      <w:r w:rsidRPr="000C40EC">
        <w:rPr>
          <w:rFonts w:ascii="Arial" w:hAnsi="Arial" w:cs="Arial"/>
        </w:rPr>
        <w:t>its</w:t>
      </w:r>
      <w:r w:rsidRPr="000C40EC">
        <w:rPr>
          <w:rFonts w:ascii="Arial" w:hAnsi="Arial" w:cs="Arial"/>
          <w:spacing w:val="-8"/>
        </w:rPr>
        <w:t xml:space="preserve"> </w:t>
      </w:r>
      <w:r w:rsidRPr="000C40EC">
        <w:rPr>
          <w:rFonts w:ascii="Arial" w:hAnsi="Arial" w:cs="Arial"/>
        </w:rPr>
        <w:t>activities</w:t>
      </w:r>
      <w:r w:rsidRPr="000C40EC">
        <w:rPr>
          <w:rFonts w:ascii="Arial" w:hAnsi="Arial" w:cs="Arial"/>
          <w:spacing w:val="-8"/>
        </w:rPr>
        <w:t xml:space="preserve"> </w:t>
      </w:r>
      <w:r w:rsidRPr="000C40EC">
        <w:rPr>
          <w:rFonts w:ascii="Arial" w:hAnsi="Arial" w:cs="Arial"/>
        </w:rPr>
        <w:t>and</w:t>
      </w:r>
      <w:r w:rsidRPr="000C40EC">
        <w:rPr>
          <w:rFonts w:ascii="Arial" w:hAnsi="Arial" w:cs="Arial"/>
          <w:spacing w:val="-10"/>
        </w:rPr>
        <w:t xml:space="preserve"> </w:t>
      </w:r>
      <w:r w:rsidRPr="000C40EC">
        <w:rPr>
          <w:rFonts w:ascii="Arial" w:hAnsi="Arial" w:cs="Arial"/>
        </w:rPr>
        <w:t>any</w:t>
      </w:r>
      <w:r w:rsidRPr="000C40EC">
        <w:rPr>
          <w:rFonts w:ascii="Arial" w:hAnsi="Arial" w:cs="Arial"/>
          <w:spacing w:val="-9"/>
        </w:rPr>
        <w:t xml:space="preserve"> </w:t>
      </w:r>
      <w:r w:rsidRPr="000C40EC">
        <w:rPr>
          <w:rFonts w:ascii="Arial" w:hAnsi="Arial" w:cs="Arial"/>
        </w:rPr>
        <w:t>appropriate</w:t>
      </w:r>
      <w:r w:rsidRPr="000C40EC">
        <w:rPr>
          <w:rFonts w:ascii="Arial" w:hAnsi="Arial" w:cs="Arial"/>
          <w:spacing w:val="-9"/>
        </w:rPr>
        <w:t xml:space="preserve"> </w:t>
      </w:r>
      <w:r w:rsidRPr="000C40EC">
        <w:rPr>
          <w:rFonts w:ascii="Arial" w:hAnsi="Arial" w:cs="Arial"/>
        </w:rPr>
        <w:t xml:space="preserve">matter. The Committee shall review the financial risk management notes (including its objectives and policies) in the </w:t>
      </w:r>
      <w:r w:rsidR="004B5BE2">
        <w:rPr>
          <w:rFonts w:ascii="Arial" w:hAnsi="Arial" w:cs="Arial"/>
        </w:rPr>
        <w:t>IGGH</w:t>
      </w:r>
      <w:r w:rsidR="004B5BE2" w:rsidRPr="000C40EC">
        <w:rPr>
          <w:rFonts w:ascii="Arial" w:hAnsi="Arial" w:cs="Arial"/>
        </w:rPr>
        <w:t xml:space="preserve"> </w:t>
      </w:r>
      <w:r w:rsidRPr="000C40EC">
        <w:rPr>
          <w:rFonts w:ascii="Arial" w:hAnsi="Arial" w:cs="Arial"/>
        </w:rPr>
        <w:t xml:space="preserve">Annual Report and confirm its satisfaction to the Audit Committee. </w:t>
      </w:r>
    </w:p>
    <w:p w14:paraId="407C372B" w14:textId="77777777" w:rsidR="000C40EC" w:rsidRPr="000C40EC" w:rsidRDefault="000C40EC" w:rsidP="005930DA">
      <w:pPr>
        <w:pStyle w:val="ListParagraph"/>
        <w:ind w:left="709"/>
        <w:jc w:val="both"/>
        <w:rPr>
          <w:rFonts w:ascii="Arial" w:hAnsi="Arial" w:cs="Arial"/>
        </w:rPr>
      </w:pPr>
    </w:p>
    <w:p w14:paraId="128DCC88" w14:textId="7E43469A" w:rsidR="000C40EC" w:rsidRDefault="00D90F40" w:rsidP="005930DA">
      <w:pPr>
        <w:pStyle w:val="ListParagraph"/>
        <w:numPr>
          <w:ilvl w:val="1"/>
          <w:numId w:val="8"/>
        </w:numPr>
        <w:tabs>
          <w:tab w:val="left" w:pos="821"/>
        </w:tabs>
        <w:ind w:left="709"/>
        <w:jc w:val="both"/>
        <w:rPr>
          <w:rFonts w:ascii="Arial" w:hAnsi="Arial" w:cs="Arial"/>
        </w:rPr>
      </w:pPr>
      <w:r w:rsidRPr="000C40EC">
        <w:rPr>
          <w:rFonts w:ascii="Arial" w:hAnsi="Arial" w:cs="Arial"/>
        </w:rPr>
        <w:t xml:space="preserve">The Committee shall make whatever recommendations to the Audit Committee it deems appropriate with regards to the robustness and effectiveness of the </w:t>
      </w:r>
      <w:r w:rsidR="00D73117">
        <w:rPr>
          <w:rFonts w:ascii="Arial" w:hAnsi="Arial" w:cs="Arial"/>
        </w:rPr>
        <w:t>G</w:t>
      </w:r>
      <w:r w:rsidRPr="000C40EC">
        <w:rPr>
          <w:rFonts w:ascii="Arial" w:hAnsi="Arial" w:cs="Arial"/>
        </w:rPr>
        <w:t>roup’s risk management</w:t>
      </w:r>
      <w:r w:rsidRPr="000C40EC">
        <w:rPr>
          <w:rFonts w:ascii="Arial" w:hAnsi="Arial" w:cs="Arial"/>
          <w:spacing w:val="-5"/>
        </w:rPr>
        <w:t xml:space="preserve"> </w:t>
      </w:r>
      <w:r w:rsidRPr="000C40EC">
        <w:rPr>
          <w:rFonts w:ascii="Arial" w:hAnsi="Arial" w:cs="Arial"/>
        </w:rPr>
        <w:t>framework.</w:t>
      </w:r>
    </w:p>
    <w:p w14:paraId="64EC2784" w14:textId="77777777" w:rsidR="000C40EC" w:rsidRPr="000C40EC" w:rsidRDefault="000C40EC" w:rsidP="005930DA">
      <w:pPr>
        <w:pStyle w:val="ListParagraph"/>
        <w:ind w:left="709"/>
        <w:jc w:val="both"/>
        <w:rPr>
          <w:rFonts w:ascii="Arial" w:hAnsi="Arial" w:cs="Arial"/>
        </w:rPr>
      </w:pPr>
    </w:p>
    <w:p w14:paraId="7973B08B" w14:textId="77777777" w:rsidR="000C40EC" w:rsidRDefault="00D90F40" w:rsidP="005930DA">
      <w:pPr>
        <w:pStyle w:val="ListParagraph"/>
        <w:numPr>
          <w:ilvl w:val="1"/>
          <w:numId w:val="8"/>
        </w:numPr>
        <w:tabs>
          <w:tab w:val="left" w:pos="821"/>
        </w:tabs>
        <w:ind w:left="709"/>
        <w:jc w:val="both"/>
        <w:rPr>
          <w:rFonts w:ascii="Arial" w:hAnsi="Arial" w:cs="Arial"/>
        </w:rPr>
      </w:pPr>
      <w:r w:rsidRPr="000C40EC">
        <w:rPr>
          <w:rFonts w:ascii="Arial" w:hAnsi="Arial" w:cs="Arial"/>
        </w:rPr>
        <w:t xml:space="preserve">The Committee shall provide an annual report on the effectiveness of </w:t>
      </w:r>
      <w:r w:rsidR="00F122D8" w:rsidRPr="000C40EC">
        <w:rPr>
          <w:rFonts w:ascii="Arial" w:hAnsi="Arial" w:cs="Arial"/>
        </w:rPr>
        <w:t>Group</w:t>
      </w:r>
      <w:r w:rsidRPr="000C40EC">
        <w:rPr>
          <w:rFonts w:ascii="Arial" w:hAnsi="Arial" w:cs="Arial"/>
        </w:rPr>
        <w:t>’s risk</w:t>
      </w:r>
      <w:r w:rsidRPr="000C40EC">
        <w:rPr>
          <w:rFonts w:ascii="Arial" w:hAnsi="Arial" w:cs="Arial"/>
          <w:spacing w:val="-7"/>
        </w:rPr>
        <w:t xml:space="preserve"> </w:t>
      </w:r>
      <w:r w:rsidRPr="000C40EC">
        <w:rPr>
          <w:rFonts w:ascii="Arial" w:hAnsi="Arial" w:cs="Arial"/>
        </w:rPr>
        <w:t>management</w:t>
      </w:r>
      <w:r w:rsidRPr="000C40EC">
        <w:rPr>
          <w:rFonts w:ascii="Arial" w:hAnsi="Arial" w:cs="Arial"/>
          <w:spacing w:val="-7"/>
        </w:rPr>
        <w:t xml:space="preserve"> </w:t>
      </w:r>
      <w:r w:rsidRPr="000C40EC">
        <w:rPr>
          <w:rFonts w:ascii="Arial" w:hAnsi="Arial" w:cs="Arial"/>
        </w:rPr>
        <w:t>framework</w:t>
      </w:r>
      <w:r w:rsidRPr="000C40EC">
        <w:rPr>
          <w:rFonts w:ascii="Arial" w:hAnsi="Arial" w:cs="Arial"/>
          <w:spacing w:val="-7"/>
        </w:rPr>
        <w:t xml:space="preserve"> </w:t>
      </w:r>
      <w:r w:rsidRPr="000C40EC">
        <w:rPr>
          <w:rFonts w:ascii="Arial" w:hAnsi="Arial" w:cs="Arial"/>
        </w:rPr>
        <w:t>and</w:t>
      </w:r>
      <w:r w:rsidRPr="000C40EC">
        <w:rPr>
          <w:rFonts w:ascii="Arial" w:hAnsi="Arial" w:cs="Arial"/>
          <w:spacing w:val="-7"/>
        </w:rPr>
        <w:t xml:space="preserve"> </w:t>
      </w:r>
      <w:r w:rsidRPr="000C40EC">
        <w:rPr>
          <w:rFonts w:ascii="Arial" w:hAnsi="Arial" w:cs="Arial"/>
        </w:rPr>
        <w:t>system</w:t>
      </w:r>
      <w:r w:rsidRPr="000C40EC">
        <w:rPr>
          <w:rFonts w:ascii="Arial" w:hAnsi="Arial" w:cs="Arial"/>
          <w:spacing w:val="-7"/>
        </w:rPr>
        <w:t xml:space="preserve"> </w:t>
      </w:r>
      <w:r w:rsidRPr="000C40EC">
        <w:rPr>
          <w:rFonts w:ascii="Arial" w:hAnsi="Arial" w:cs="Arial"/>
        </w:rPr>
        <w:t>of</w:t>
      </w:r>
      <w:r w:rsidRPr="000C40EC">
        <w:rPr>
          <w:rFonts w:ascii="Arial" w:hAnsi="Arial" w:cs="Arial"/>
          <w:spacing w:val="-8"/>
        </w:rPr>
        <w:t xml:space="preserve"> </w:t>
      </w:r>
      <w:r w:rsidRPr="000C40EC">
        <w:rPr>
          <w:rFonts w:ascii="Arial" w:hAnsi="Arial" w:cs="Arial"/>
        </w:rPr>
        <w:t>internal</w:t>
      </w:r>
      <w:r w:rsidRPr="000C40EC">
        <w:rPr>
          <w:rFonts w:ascii="Arial" w:hAnsi="Arial" w:cs="Arial"/>
          <w:spacing w:val="-6"/>
        </w:rPr>
        <w:t xml:space="preserve"> </w:t>
      </w:r>
      <w:r w:rsidRPr="000C40EC">
        <w:rPr>
          <w:rFonts w:ascii="Arial" w:hAnsi="Arial" w:cs="Arial"/>
        </w:rPr>
        <w:t>controls</w:t>
      </w:r>
      <w:r w:rsidRPr="000C40EC">
        <w:rPr>
          <w:rFonts w:ascii="Arial" w:hAnsi="Arial" w:cs="Arial"/>
          <w:spacing w:val="-6"/>
        </w:rPr>
        <w:t xml:space="preserve"> </w:t>
      </w:r>
      <w:r w:rsidRPr="000C40EC">
        <w:rPr>
          <w:rFonts w:ascii="Arial" w:hAnsi="Arial" w:cs="Arial"/>
        </w:rPr>
        <w:t>to</w:t>
      </w:r>
      <w:r w:rsidRPr="000C40EC">
        <w:rPr>
          <w:rFonts w:ascii="Arial" w:hAnsi="Arial" w:cs="Arial"/>
          <w:spacing w:val="-8"/>
        </w:rPr>
        <w:t xml:space="preserve"> </w:t>
      </w:r>
      <w:r w:rsidRPr="000C40EC">
        <w:rPr>
          <w:rFonts w:ascii="Arial" w:hAnsi="Arial" w:cs="Arial"/>
        </w:rPr>
        <w:t>the</w:t>
      </w:r>
      <w:r w:rsidRPr="000C40EC">
        <w:rPr>
          <w:rFonts w:ascii="Arial" w:hAnsi="Arial" w:cs="Arial"/>
          <w:spacing w:val="-3"/>
        </w:rPr>
        <w:t xml:space="preserve"> </w:t>
      </w:r>
      <w:r w:rsidRPr="000C40EC">
        <w:rPr>
          <w:rFonts w:ascii="Arial" w:hAnsi="Arial" w:cs="Arial"/>
        </w:rPr>
        <w:t>Audit</w:t>
      </w:r>
      <w:r w:rsidRPr="000C40EC">
        <w:rPr>
          <w:rFonts w:ascii="Arial" w:hAnsi="Arial" w:cs="Arial"/>
          <w:spacing w:val="-8"/>
        </w:rPr>
        <w:t xml:space="preserve"> </w:t>
      </w:r>
      <w:r w:rsidRPr="000C40EC">
        <w:rPr>
          <w:rFonts w:ascii="Arial" w:hAnsi="Arial" w:cs="Arial"/>
        </w:rPr>
        <w:t>Committee and for recommendation to the Board for</w:t>
      </w:r>
      <w:r w:rsidRPr="000C40EC">
        <w:rPr>
          <w:rFonts w:ascii="Arial" w:hAnsi="Arial" w:cs="Arial"/>
          <w:spacing w:val="-10"/>
        </w:rPr>
        <w:t xml:space="preserve"> </w:t>
      </w:r>
      <w:r w:rsidRPr="000C40EC">
        <w:rPr>
          <w:rFonts w:ascii="Arial" w:hAnsi="Arial" w:cs="Arial"/>
        </w:rPr>
        <w:t>approval.</w:t>
      </w:r>
    </w:p>
    <w:p w14:paraId="32E2DC9B" w14:textId="77777777" w:rsidR="00A508CB" w:rsidRPr="000C40EC" w:rsidRDefault="00A508CB" w:rsidP="005930DA">
      <w:pPr>
        <w:pStyle w:val="ListParagraph"/>
        <w:ind w:left="709"/>
        <w:jc w:val="both"/>
        <w:rPr>
          <w:rFonts w:ascii="Arial" w:hAnsi="Arial" w:cs="Arial"/>
        </w:rPr>
      </w:pPr>
    </w:p>
    <w:p w14:paraId="47836B2D" w14:textId="26B88AC3" w:rsidR="00F10200" w:rsidRDefault="00D90F40" w:rsidP="001E0531">
      <w:pPr>
        <w:pStyle w:val="Heading1"/>
        <w:numPr>
          <w:ilvl w:val="0"/>
          <w:numId w:val="1"/>
        </w:numPr>
        <w:tabs>
          <w:tab w:val="left" w:pos="993"/>
        </w:tabs>
        <w:ind w:left="709" w:hanging="709"/>
        <w:jc w:val="both"/>
        <w:rPr>
          <w:rFonts w:ascii="Arial" w:hAnsi="Arial" w:cs="Arial"/>
        </w:rPr>
      </w:pPr>
      <w:r w:rsidRPr="00600E61">
        <w:rPr>
          <w:rFonts w:ascii="Arial" w:hAnsi="Arial" w:cs="Arial"/>
        </w:rPr>
        <w:t>Authority</w:t>
      </w:r>
    </w:p>
    <w:p w14:paraId="10B03535" w14:textId="77777777" w:rsidR="001E0531" w:rsidRDefault="001E0531" w:rsidP="005930DA">
      <w:pPr>
        <w:pStyle w:val="Heading1"/>
        <w:tabs>
          <w:tab w:val="left" w:pos="993"/>
        </w:tabs>
        <w:ind w:left="709" w:firstLine="0"/>
        <w:jc w:val="both"/>
        <w:rPr>
          <w:rFonts w:ascii="Arial" w:hAnsi="Arial" w:cs="Arial"/>
        </w:rPr>
      </w:pPr>
    </w:p>
    <w:p w14:paraId="186E46ED" w14:textId="3ED144BA" w:rsidR="00D73117" w:rsidRDefault="001E0531">
      <w:pPr>
        <w:pStyle w:val="Heading1"/>
        <w:tabs>
          <w:tab w:val="left" w:pos="993"/>
        </w:tabs>
        <w:ind w:left="709"/>
        <w:jc w:val="both"/>
        <w:rPr>
          <w:rFonts w:ascii="Arial" w:hAnsi="Arial" w:cs="Arial"/>
          <w:b w:val="0"/>
          <w:bCs w:val="0"/>
        </w:rPr>
      </w:pPr>
      <w:r>
        <w:rPr>
          <w:rFonts w:ascii="Arial" w:hAnsi="Arial" w:cs="Arial"/>
          <w:b w:val="0"/>
          <w:bCs w:val="0"/>
        </w:rPr>
        <w:tab/>
      </w:r>
      <w:r w:rsidR="00D73117" w:rsidRPr="0028311A">
        <w:rPr>
          <w:rFonts w:ascii="Arial" w:hAnsi="Arial" w:cs="Arial"/>
          <w:b w:val="0"/>
          <w:bCs w:val="0"/>
        </w:rPr>
        <w:t>The Committee is authorised</w:t>
      </w:r>
      <w:r w:rsidR="00D73117">
        <w:rPr>
          <w:rFonts w:ascii="Arial" w:hAnsi="Arial" w:cs="Arial"/>
          <w:b w:val="0"/>
          <w:bCs w:val="0"/>
        </w:rPr>
        <w:t>:</w:t>
      </w:r>
    </w:p>
    <w:p w14:paraId="7D46646A" w14:textId="77777777" w:rsidR="001E0531" w:rsidRPr="0028311A" w:rsidRDefault="001E0531" w:rsidP="005930DA">
      <w:pPr>
        <w:pStyle w:val="Heading1"/>
        <w:tabs>
          <w:tab w:val="left" w:pos="993"/>
        </w:tabs>
        <w:ind w:left="709"/>
        <w:jc w:val="both"/>
        <w:rPr>
          <w:rFonts w:ascii="Arial" w:hAnsi="Arial" w:cs="Arial"/>
          <w:b w:val="0"/>
          <w:bCs w:val="0"/>
        </w:rPr>
      </w:pPr>
    </w:p>
    <w:p w14:paraId="1F42542D" w14:textId="755049F1" w:rsidR="00957AF6" w:rsidRDefault="00D90F40" w:rsidP="005930DA">
      <w:pPr>
        <w:pStyle w:val="ListParagraph"/>
        <w:numPr>
          <w:ilvl w:val="1"/>
          <w:numId w:val="1"/>
        </w:numPr>
        <w:ind w:left="709" w:hanging="709"/>
        <w:jc w:val="both"/>
        <w:rPr>
          <w:rFonts w:ascii="Arial" w:hAnsi="Arial" w:cs="Arial"/>
        </w:rPr>
      </w:pPr>
      <w:r w:rsidRPr="00600E61">
        <w:rPr>
          <w:rFonts w:ascii="Arial" w:hAnsi="Arial" w:cs="Arial"/>
        </w:rPr>
        <w:t>to investigate any activity within its terms of</w:t>
      </w:r>
      <w:r w:rsidRPr="00600E61">
        <w:rPr>
          <w:rFonts w:ascii="Arial" w:hAnsi="Arial" w:cs="Arial"/>
          <w:spacing w:val="-12"/>
        </w:rPr>
        <w:t xml:space="preserve"> </w:t>
      </w:r>
      <w:r w:rsidRPr="00600E61">
        <w:rPr>
          <w:rFonts w:ascii="Arial" w:hAnsi="Arial" w:cs="Arial"/>
        </w:rPr>
        <w:t>reference</w:t>
      </w:r>
      <w:r w:rsidRPr="00600E61">
        <w:rPr>
          <w:rFonts w:ascii="Arial" w:hAnsi="Arial" w:cs="Arial"/>
          <w:spacing w:val="-13"/>
        </w:rPr>
        <w:t xml:space="preserve"> </w:t>
      </w:r>
      <w:r w:rsidRPr="00600E61">
        <w:rPr>
          <w:rFonts w:ascii="Arial" w:hAnsi="Arial" w:cs="Arial"/>
        </w:rPr>
        <w:t>and</w:t>
      </w:r>
      <w:r w:rsidRPr="00600E61">
        <w:rPr>
          <w:rFonts w:ascii="Arial" w:hAnsi="Arial" w:cs="Arial"/>
          <w:spacing w:val="-12"/>
        </w:rPr>
        <w:t xml:space="preserve"> </w:t>
      </w:r>
      <w:r w:rsidRPr="00600E61">
        <w:rPr>
          <w:rFonts w:ascii="Arial" w:hAnsi="Arial" w:cs="Arial"/>
        </w:rPr>
        <w:t>to</w:t>
      </w:r>
      <w:r w:rsidRPr="00600E61">
        <w:rPr>
          <w:rFonts w:ascii="Arial" w:hAnsi="Arial" w:cs="Arial"/>
          <w:spacing w:val="-13"/>
        </w:rPr>
        <w:t xml:space="preserve"> </w:t>
      </w:r>
      <w:r w:rsidRPr="00600E61">
        <w:rPr>
          <w:rFonts w:ascii="Arial" w:hAnsi="Arial" w:cs="Arial"/>
        </w:rPr>
        <w:t>seek</w:t>
      </w:r>
      <w:r w:rsidRPr="00600E61">
        <w:rPr>
          <w:rFonts w:ascii="Arial" w:hAnsi="Arial" w:cs="Arial"/>
          <w:spacing w:val="-12"/>
        </w:rPr>
        <w:t xml:space="preserve"> </w:t>
      </w:r>
      <w:r w:rsidRPr="00600E61">
        <w:rPr>
          <w:rFonts w:ascii="Arial" w:hAnsi="Arial" w:cs="Arial"/>
        </w:rPr>
        <w:t>any</w:t>
      </w:r>
      <w:r w:rsidRPr="00600E61">
        <w:rPr>
          <w:rFonts w:ascii="Arial" w:hAnsi="Arial" w:cs="Arial"/>
          <w:spacing w:val="-12"/>
        </w:rPr>
        <w:t xml:space="preserve"> </w:t>
      </w:r>
      <w:r w:rsidRPr="00600E61">
        <w:rPr>
          <w:rFonts w:ascii="Arial" w:hAnsi="Arial" w:cs="Arial"/>
        </w:rPr>
        <w:t>information</w:t>
      </w:r>
      <w:r w:rsidRPr="00600E61">
        <w:rPr>
          <w:rFonts w:ascii="Arial" w:hAnsi="Arial" w:cs="Arial"/>
          <w:spacing w:val="-13"/>
        </w:rPr>
        <w:t xml:space="preserve"> </w:t>
      </w:r>
      <w:r w:rsidRPr="00600E61">
        <w:rPr>
          <w:rFonts w:ascii="Arial" w:hAnsi="Arial" w:cs="Arial"/>
        </w:rPr>
        <w:t>it</w:t>
      </w:r>
      <w:r w:rsidRPr="00600E61">
        <w:rPr>
          <w:rFonts w:ascii="Arial" w:hAnsi="Arial" w:cs="Arial"/>
          <w:spacing w:val="-10"/>
        </w:rPr>
        <w:t xml:space="preserve"> </w:t>
      </w:r>
      <w:r w:rsidRPr="00600E61">
        <w:rPr>
          <w:rFonts w:ascii="Arial" w:hAnsi="Arial" w:cs="Arial"/>
        </w:rPr>
        <w:t>requires</w:t>
      </w:r>
      <w:r w:rsidRPr="00600E61">
        <w:rPr>
          <w:rFonts w:ascii="Arial" w:hAnsi="Arial" w:cs="Arial"/>
          <w:spacing w:val="-12"/>
        </w:rPr>
        <w:t xml:space="preserve"> </w:t>
      </w:r>
      <w:r w:rsidRPr="00600E61">
        <w:rPr>
          <w:rFonts w:ascii="Arial" w:hAnsi="Arial" w:cs="Arial"/>
        </w:rPr>
        <w:t>from</w:t>
      </w:r>
      <w:r w:rsidRPr="00600E61">
        <w:rPr>
          <w:rFonts w:ascii="Arial" w:hAnsi="Arial" w:cs="Arial"/>
          <w:spacing w:val="-13"/>
        </w:rPr>
        <w:t xml:space="preserve"> </w:t>
      </w:r>
      <w:r w:rsidRPr="00600E61">
        <w:rPr>
          <w:rFonts w:ascii="Arial" w:hAnsi="Arial" w:cs="Arial"/>
        </w:rPr>
        <w:t>any</w:t>
      </w:r>
      <w:r w:rsidRPr="00600E61">
        <w:rPr>
          <w:rFonts w:ascii="Arial" w:hAnsi="Arial" w:cs="Arial"/>
          <w:spacing w:val="-13"/>
        </w:rPr>
        <w:t xml:space="preserve"> </w:t>
      </w:r>
      <w:r w:rsidRPr="00600E61">
        <w:rPr>
          <w:rFonts w:ascii="Arial" w:hAnsi="Arial" w:cs="Arial"/>
        </w:rPr>
        <w:t>employee</w:t>
      </w:r>
      <w:r w:rsidRPr="00600E61">
        <w:rPr>
          <w:rFonts w:ascii="Arial" w:hAnsi="Arial" w:cs="Arial"/>
          <w:spacing w:val="-10"/>
        </w:rPr>
        <w:t xml:space="preserve"> </w:t>
      </w:r>
      <w:r w:rsidRPr="00600E61">
        <w:rPr>
          <w:rFonts w:ascii="Arial" w:hAnsi="Arial" w:cs="Arial"/>
        </w:rPr>
        <w:t>of</w:t>
      </w:r>
      <w:r w:rsidRPr="00600E61">
        <w:rPr>
          <w:rFonts w:ascii="Arial" w:hAnsi="Arial" w:cs="Arial"/>
          <w:spacing w:val="-12"/>
        </w:rPr>
        <w:t xml:space="preserve"> </w:t>
      </w:r>
      <w:r w:rsidRPr="00600E61">
        <w:rPr>
          <w:rFonts w:ascii="Arial" w:hAnsi="Arial" w:cs="Arial"/>
        </w:rPr>
        <w:t>the</w:t>
      </w:r>
      <w:r w:rsidRPr="00600E61">
        <w:rPr>
          <w:rFonts w:ascii="Arial" w:hAnsi="Arial" w:cs="Arial"/>
          <w:spacing w:val="-12"/>
        </w:rPr>
        <w:t xml:space="preserve"> </w:t>
      </w:r>
      <w:r w:rsidRPr="00600E61">
        <w:rPr>
          <w:rFonts w:ascii="Arial" w:hAnsi="Arial" w:cs="Arial"/>
        </w:rPr>
        <w:t xml:space="preserve">Group in order to perform its duties. The Committee shall have access to all records of the </w:t>
      </w:r>
      <w:r w:rsidR="00F122D8" w:rsidRPr="00600E61">
        <w:rPr>
          <w:rFonts w:ascii="Arial" w:hAnsi="Arial" w:cs="Arial"/>
        </w:rPr>
        <w:t>Group</w:t>
      </w:r>
      <w:r w:rsidRPr="00600E61">
        <w:rPr>
          <w:rFonts w:ascii="Arial" w:hAnsi="Arial" w:cs="Arial"/>
        </w:rPr>
        <w:t xml:space="preserve"> and any </w:t>
      </w:r>
      <w:r w:rsidR="004B5BE2">
        <w:rPr>
          <w:rFonts w:ascii="Arial" w:hAnsi="Arial" w:cs="Arial"/>
        </w:rPr>
        <w:t xml:space="preserve">relevant </w:t>
      </w:r>
      <w:r w:rsidRPr="00600E61">
        <w:rPr>
          <w:rFonts w:ascii="Arial" w:hAnsi="Arial" w:cs="Arial"/>
        </w:rPr>
        <w:t>internal or external reports.</w:t>
      </w:r>
    </w:p>
    <w:p w14:paraId="036DCD94" w14:textId="77777777" w:rsidR="00957AF6" w:rsidRDefault="00957AF6" w:rsidP="005930DA">
      <w:pPr>
        <w:pStyle w:val="ListParagraph"/>
        <w:tabs>
          <w:tab w:val="left" w:pos="809"/>
        </w:tabs>
        <w:ind w:left="709"/>
        <w:jc w:val="both"/>
        <w:rPr>
          <w:rFonts w:ascii="Arial" w:hAnsi="Arial" w:cs="Arial"/>
        </w:rPr>
      </w:pPr>
    </w:p>
    <w:p w14:paraId="49677E40" w14:textId="04618233" w:rsidR="00D73117" w:rsidRDefault="00D73117" w:rsidP="005930DA">
      <w:pPr>
        <w:pStyle w:val="ListParagraph"/>
        <w:numPr>
          <w:ilvl w:val="1"/>
          <w:numId w:val="1"/>
        </w:numPr>
        <w:ind w:left="709" w:hanging="709"/>
        <w:jc w:val="both"/>
        <w:rPr>
          <w:rFonts w:ascii="Arial" w:hAnsi="Arial" w:cs="Arial"/>
        </w:rPr>
      </w:pPr>
      <w:r>
        <w:rPr>
          <w:rFonts w:ascii="Arial" w:hAnsi="Arial" w:cs="Arial"/>
        </w:rPr>
        <w:t xml:space="preserve">to obtain, at the Group’s </w:t>
      </w:r>
      <w:r w:rsidR="00D90F40" w:rsidRPr="00957AF6">
        <w:rPr>
          <w:rFonts w:ascii="Arial" w:hAnsi="Arial" w:cs="Arial"/>
        </w:rPr>
        <w:t>expense</w:t>
      </w:r>
      <w:r>
        <w:rPr>
          <w:rFonts w:ascii="Arial" w:hAnsi="Arial" w:cs="Arial"/>
        </w:rPr>
        <w:t xml:space="preserve">, </w:t>
      </w:r>
      <w:r w:rsidR="00D90F40" w:rsidRPr="00957AF6">
        <w:rPr>
          <w:rFonts w:ascii="Arial" w:hAnsi="Arial" w:cs="Arial"/>
        </w:rPr>
        <w:t xml:space="preserve">outside legal or other independent professional advice </w:t>
      </w:r>
      <w:r>
        <w:rPr>
          <w:rFonts w:ascii="Arial" w:hAnsi="Arial" w:cs="Arial"/>
        </w:rPr>
        <w:t>on any matter within its terms of reference;</w:t>
      </w:r>
      <w:r w:rsidR="004B5BE2">
        <w:rPr>
          <w:rFonts w:ascii="Arial" w:hAnsi="Arial" w:cs="Arial"/>
        </w:rPr>
        <w:t xml:space="preserve"> and</w:t>
      </w:r>
    </w:p>
    <w:p w14:paraId="7845EB23" w14:textId="77777777" w:rsidR="001E0531" w:rsidRPr="005930DA" w:rsidRDefault="001E0531" w:rsidP="005930DA">
      <w:pPr>
        <w:tabs>
          <w:tab w:val="left" w:pos="809"/>
        </w:tabs>
        <w:jc w:val="both"/>
        <w:rPr>
          <w:rFonts w:ascii="Arial" w:hAnsi="Arial" w:cs="Arial"/>
        </w:rPr>
      </w:pPr>
    </w:p>
    <w:p w14:paraId="1CF85E65" w14:textId="48C55D3A" w:rsidR="00D73117" w:rsidRDefault="00D73117" w:rsidP="005930DA">
      <w:pPr>
        <w:pStyle w:val="ListParagraph"/>
        <w:numPr>
          <w:ilvl w:val="1"/>
          <w:numId w:val="1"/>
        </w:numPr>
        <w:ind w:left="709" w:hanging="709"/>
        <w:jc w:val="both"/>
        <w:rPr>
          <w:rFonts w:ascii="Arial" w:hAnsi="Arial" w:cs="Arial"/>
        </w:rPr>
      </w:pPr>
      <w:r w:rsidRPr="00D73117">
        <w:rPr>
          <w:rFonts w:ascii="Arial" w:hAnsi="Arial" w:cs="Arial"/>
        </w:rPr>
        <w:t>to call any employee to be questioned at a meeting of the Committee as and when required</w:t>
      </w:r>
      <w:r w:rsidR="00667E48">
        <w:rPr>
          <w:rFonts w:ascii="Arial" w:hAnsi="Arial" w:cs="Arial"/>
        </w:rPr>
        <w:t>.</w:t>
      </w:r>
    </w:p>
    <w:p w14:paraId="2F9817DC" w14:textId="77777777" w:rsidR="001E0531" w:rsidRPr="005930DA" w:rsidRDefault="001E0531" w:rsidP="005930DA">
      <w:pPr>
        <w:jc w:val="both"/>
        <w:rPr>
          <w:rFonts w:ascii="Arial" w:hAnsi="Arial" w:cs="Arial"/>
        </w:rPr>
      </w:pPr>
    </w:p>
    <w:p w14:paraId="08BA929C" w14:textId="3ED577CB" w:rsidR="00F10200" w:rsidRDefault="00D90F40" w:rsidP="001E0531">
      <w:pPr>
        <w:pStyle w:val="Heading1"/>
        <w:numPr>
          <w:ilvl w:val="0"/>
          <w:numId w:val="1"/>
        </w:numPr>
        <w:tabs>
          <w:tab w:val="left" w:pos="993"/>
        </w:tabs>
        <w:ind w:left="709" w:hanging="709"/>
        <w:jc w:val="both"/>
        <w:rPr>
          <w:rFonts w:ascii="Arial" w:hAnsi="Arial" w:cs="Arial"/>
        </w:rPr>
      </w:pPr>
      <w:r w:rsidRPr="00600E61">
        <w:rPr>
          <w:rFonts w:ascii="Arial" w:hAnsi="Arial" w:cs="Arial"/>
        </w:rPr>
        <w:t>Other</w:t>
      </w:r>
      <w:r w:rsidRPr="00600E61">
        <w:rPr>
          <w:rFonts w:ascii="Arial" w:hAnsi="Arial" w:cs="Arial"/>
          <w:spacing w:val="-2"/>
        </w:rPr>
        <w:t xml:space="preserve"> </w:t>
      </w:r>
      <w:r w:rsidRPr="00600E61">
        <w:rPr>
          <w:rFonts w:ascii="Arial" w:hAnsi="Arial" w:cs="Arial"/>
        </w:rPr>
        <w:t>Matters</w:t>
      </w:r>
    </w:p>
    <w:p w14:paraId="1E618981" w14:textId="77777777" w:rsidR="001E0531" w:rsidRDefault="001E0531" w:rsidP="005930DA">
      <w:pPr>
        <w:pStyle w:val="Heading1"/>
        <w:tabs>
          <w:tab w:val="left" w:pos="993"/>
        </w:tabs>
        <w:ind w:left="709" w:firstLine="0"/>
        <w:jc w:val="both"/>
        <w:rPr>
          <w:rFonts w:ascii="Arial" w:hAnsi="Arial" w:cs="Arial"/>
        </w:rPr>
      </w:pPr>
    </w:p>
    <w:p w14:paraId="3B8B41BD" w14:textId="77EAAF32" w:rsidR="001E0531" w:rsidRPr="0028311A" w:rsidRDefault="001E0531" w:rsidP="005930DA">
      <w:pPr>
        <w:pStyle w:val="Heading1"/>
        <w:tabs>
          <w:tab w:val="left" w:pos="993"/>
        </w:tabs>
        <w:ind w:left="709"/>
        <w:jc w:val="both"/>
        <w:rPr>
          <w:rFonts w:ascii="Arial" w:hAnsi="Arial" w:cs="Arial"/>
          <w:b w:val="0"/>
          <w:bCs w:val="0"/>
        </w:rPr>
      </w:pPr>
      <w:r>
        <w:rPr>
          <w:rFonts w:ascii="Arial" w:hAnsi="Arial" w:cs="Arial"/>
          <w:b w:val="0"/>
          <w:bCs w:val="0"/>
        </w:rPr>
        <w:tab/>
      </w:r>
      <w:r w:rsidR="00D73117" w:rsidRPr="0028311A">
        <w:rPr>
          <w:rFonts w:ascii="Arial" w:hAnsi="Arial" w:cs="Arial"/>
          <w:b w:val="0"/>
          <w:bCs w:val="0"/>
        </w:rPr>
        <w:t>The Committee shall:</w:t>
      </w:r>
    </w:p>
    <w:p w14:paraId="3DD744B9" w14:textId="77777777" w:rsidR="00957AF6" w:rsidRDefault="00957AF6" w:rsidP="005930DA">
      <w:pPr>
        <w:pStyle w:val="Heading1"/>
        <w:tabs>
          <w:tab w:val="left" w:pos="993"/>
        </w:tabs>
        <w:ind w:left="709"/>
        <w:jc w:val="both"/>
      </w:pPr>
    </w:p>
    <w:p w14:paraId="0E87A5EE" w14:textId="654AC11D" w:rsidR="00D73117" w:rsidRDefault="00D73117" w:rsidP="005930DA">
      <w:pPr>
        <w:pStyle w:val="ListParagraph"/>
        <w:numPr>
          <w:ilvl w:val="1"/>
          <w:numId w:val="1"/>
        </w:numPr>
        <w:tabs>
          <w:tab w:val="left" w:pos="747"/>
        </w:tabs>
        <w:ind w:left="709" w:hanging="709"/>
        <w:jc w:val="both"/>
        <w:rPr>
          <w:rFonts w:ascii="Arial" w:hAnsi="Arial" w:cs="Arial"/>
        </w:rPr>
      </w:pPr>
      <w:r>
        <w:rPr>
          <w:rFonts w:ascii="Arial" w:hAnsi="Arial" w:cs="Arial"/>
        </w:rPr>
        <w:t>have access to</w:t>
      </w:r>
      <w:r w:rsidRPr="00957AF6">
        <w:rPr>
          <w:rFonts w:ascii="Arial" w:hAnsi="Arial" w:cs="Arial"/>
        </w:rPr>
        <w:t xml:space="preserve"> sufficient resources to </w:t>
      </w:r>
      <w:r>
        <w:rPr>
          <w:rFonts w:ascii="Arial" w:hAnsi="Arial" w:cs="Arial"/>
        </w:rPr>
        <w:t xml:space="preserve">carry out </w:t>
      </w:r>
      <w:r w:rsidRPr="00957AF6">
        <w:rPr>
          <w:rFonts w:ascii="Arial" w:hAnsi="Arial" w:cs="Arial"/>
        </w:rPr>
        <w:t>its duties</w:t>
      </w:r>
      <w:r>
        <w:rPr>
          <w:rFonts w:ascii="Arial" w:hAnsi="Arial" w:cs="Arial"/>
        </w:rPr>
        <w:t>,</w:t>
      </w:r>
      <w:r w:rsidRPr="00957AF6">
        <w:rPr>
          <w:rFonts w:ascii="Arial" w:hAnsi="Arial" w:cs="Arial"/>
        </w:rPr>
        <w:t xml:space="preserve"> including</w:t>
      </w:r>
      <w:r w:rsidRPr="000D0736">
        <w:rPr>
          <w:rFonts w:ascii="Arial" w:hAnsi="Arial" w:cs="Arial"/>
        </w:rPr>
        <w:t xml:space="preserve"> </w:t>
      </w:r>
      <w:r w:rsidRPr="00957AF6">
        <w:rPr>
          <w:rFonts w:ascii="Arial" w:hAnsi="Arial" w:cs="Arial"/>
        </w:rPr>
        <w:t>access</w:t>
      </w:r>
      <w:r w:rsidRPr="000D0736">
        <w:rPr>
          <w:rFonts w:ascii="Arial" w:hAnsi="Arial" w:cs="Arial"/>
        </w:rPr>
        <w:t xml:space="preserve"> </w:t>
      </w:r>
      <w:r w:rsidRPr="00957AF6">
        <w:rPr>
          <w:rFonts w:ascii="Arial" w:hAnsi="Arial" w:cs="Arial"/>
        </w:rPr>
        <w:t>to</w:t>
      </w:r>
      <w:r w:rsidRPr="000D0736">
        <w:rPr>
          <w:rFonts w:ascii="Arial" w:hAnsi="Arial" w:cs="Arial"/>
        </w:rPr>
        <w:t xml:space="preserve"> </w:t>
      </w:r>
      <w:r w:rsidRPr="00957AF6">
        <w:rPr>
          <w:rFonts w:ascii="Arial" w:hAnsi="Arial" w:cs="Arial"/>
        </w:rPr>
        <w:t>the</w:t>
      </w:r>
      <w:r w:rsidRPr="000D0736">
        <w:rPr>
          <w:rFonts w:ascii="Arial" w:hAnsi="Arial" w:cs="Arial"/>
        </w:rPr>
        <w:t xml:space="preserve"> </w:t>
      </w:r>
      <w:r w:rsidRPr="00FB25A2">
        <w:rPr>
          <w:rFonts w:ascii="Arial" w:hAnsi="Arial" w:cs="Arial"/>
        </w:rPr>
        <w:t>services</w:t>
      </w:r>
      <w:r w:rsidRPr="00A659EC">
        <w:rPr>
          <w:rFonts w:ascii="Arial" w:hAnsi="Arial" w:cs="Arial"/>
        </w:rPr>
        <w:t xml:space="preserve"> of the Group Secretary for assistance as required;</w:t>
      </w:r>
    </w:p>
    <w:p w14:paraId="7FDF6E64" w14:textId="77777777" w:rsidR="00D73117" w:rsidRDefault="00D73117" w:rsidP="005930DA">
      <w:pPr>
        <w:pStyle w:val="ListParagraph"/>
        <w:tabs>
          <w:tab w:val="left" w:pos="747"/>
        </w:tabs>
        <w:ind w:left="709"/>
        <w:jc w:val="both"/>
        <w:rPr>
          <w:rFonts w:ascii="Arial" w:hAnsi="Arial" w:cs="Arial"/>
        </w:rPr>
      </w:pPr>
    </w:p>
    <w:p w14:paraId="357E58A2" w14:textId="50029AB7" w:rsidR="00D73117" w:rsidRDefault="00D73117" w:rsidP="005930DA">
      <w:pPr>
        <w:pStyle w:val="ListParagraph"/>
        <w:numPr>
          <w:ilvl w:val="1"/>
          <w:numId w:val="1"/>
        </w:numPr>
        <w:tabs>
          <w:tab w:val="left" w:pos="747"/>
        </w:tabs>
        <w:ind w:left="709" w:hanging="709"/>
        <w:jc w:val="both"/>
        <w:rPr>
          <w:rFonts w:ascii="Arial" w:hAnsi="Arial" w:cs="Arial"/>
        </w:rPr>
      </w:pPr>
      <w:r w:rsidRPr="00957AF6">
        <w:rPr>
          <w:rFonts w:ascii="Arial" w:hAnsi="Arial" w:cs="Arial"/>
        </w:rPr>
        <w:t xml:space="preserve">be provided with appropriate and timely training, both in the form of an induction programme for new members and on an ongoing basis for </w:t>
      </w:r>
      <w:r w:rsidRPr="00957AF6">
        <w:rPr>
          <w:rFonts w:ascii="Arial" w:hAnsi="Arial" w:cs="Arial"/>
          <w:spacing w:val="-3"/>
        </w:rPr>
        <w:t xml:space="preserve">all </w:t>
      </w:r>
      <w:r w:rsidRPr="00957AF6">
        <w:rPr>
          <w:rFonts w:ascii="Arial" w:hAnsi="Arial" w:cs="Arial"/>
        </w:rPr>
        <w:t>members</w:t>
      </w:r>
      <w:r>
        <w:rPr>
          <w:rFonts w:ascii="Arial" w:hAnsi="Arial" w:cs="Arial"/>
        </w:rPr>
        <w:t>;</w:t>
      </w:r>
    </w:p>
    <w:p w14:paraId="193FB7EB" w14:textId="77777777" w:rsidR="00D73117" w:rsidRPr="0028311A" w:rsidRDefault="00D73117" w:rsidP="005930DA">
      <w:pPr>
        <w:pStyle w:val="ListParagraph"/>
        <w:ind w:left="709"/>
        <w:jc w:val="both"/>
        <w:rPr>
          <w:rFonts w:ascii="Arial" w:hAnsi="Arial" w:cs="Arial"/>
        </w:rPr>
      </w:pPr>
    </w:p>
    <w:p w14:paraId="0EF64848" w14:textId="7DA85DDA" w:rsidR="00D73117" w:rsidRDefault="00D73117" w:rsidP="005930DA">
      <w:pPr>
        <w:pStyle w:val="ListParagraph"/>
        <w:numPr>
          <w:ilvl w:val="1"/>
          <w:numId w:val="1"/>
        </w:numPr>
        <w:tabs>
          <w:tab w:val="left" w:pos="747"/>
        </w:tabs>
        <w:ind w:left="709" w:hanging="709"/>
        <w:jc w:val="both"/>
        <w:rPr>
          <w:rFonts w:ascii="Arial" w:hAnsi="Arial" w:cs="Arial"/>
        </w:rPr>
      </w:pPr>
      <w:r w:rsidRPr="00D73117">
        <w:rPr>
          <w:rFonts w:ascii="Arial" w:hAnsi="Arial" w:cs="Arial"/>
        </w:rPr>
        <w:t>give due consideration to all applicable laws and regulations, in particular the directors</w:t>
      </w:r>
      <w:r w:rsidR="007D3F1F">
        <w:rPr>
          <w:rFonts w:ascii="Arial" w:hAnsi="Arial" w:cs="Arial"/>
        </w:rPr>
        <w:t>’</w:t>
      </w:r>
      <w:r w:rsidRPr="00D73117">
        <w:rPr>
          <w:rFonts w:ascii="Arial" w:hAnsi="Arial" w:cs="Arial"/>
        </w:rPr>
        <w:t xml:space="preserve"> duties contained in the Companies Act 2006, the UK Corporate Governance Code and the requirements of the Listing </w:t>
      </w:r>
      <w:r>
        <w:rPr>
          <w:rFonts w:ascii="Arial" w:hAnsi="Arial" w:cs="Arial"/>
        </w:rPr>
        <w:t>Rules</w:t>
      </w:r>
      <w:r w:rsidRPr="00D73117">
        <w:rPr>
          <w:rFonts w:ascii="Arial" w:hAnsi="Arial" w:cs="Arial"/>
        </w:rPr>
        <w:t>,</w:t>
      </w:r>
      <w:r w:rsidRPr="00D73117">
        <w:rPr>
          <w:rFonts w:ascii="Arial" w:hAnsi="Arial" w:cs="Arial"/>
          <w:spacing w:val="-8"/>
        </w:rPr>
        <w:t xml:space="preserve"> </w:t>
      </w:r>
      <w:r w:rsidRPr="00D73117">
        <w:rPr>
          <w:rFonts w:ascii="Arial" w:hAnsi="Arial" w:cs="Arial"/>
        </w:rPr>
        <w:t>Prospectus</w:t>
      </w:r>
      <w:r w:rsidRPr="00D73117">
        <w:rPr>
          <w:rFonts w:ascii="Arial" w:hAnsi="Arial" w:cs="Arial"/>
          <w:spacing w:val="-6"/>
        </w:rPr>
        <w:t xml:space="preserve"> </w:t>
      </w:r>
      <w:r>
        <w:rPr>
          <w:rFonts w:ascii="Arial" w:hAnsi="Arial" w:cs="Arial"/>
          <w:spacing w:val="-6"/>
        </w:rPr>
        <w:t xml:space="preserve">Rules </w:t>
      </w:r>
      <w:r w:rsidRPr="00D73117">
        <w:rPr>
          <w:rFonts w:ascii="Arial" w:hAnsi="Arial" w:cs="Arial"/>
        </w:rPr>
        <w:t>and</w:t>
      </w:r>
      <w:r w:rsidRPr="00D73117">
        <w:rPr>
          <w:rFonts w:ascii="Arial" w:hAnsi="Arial" w:cs="Arial"/>
          <w:spacing w:val="-7"/>
        </w:rPr>
        <w:t xml:space="preserve"> </w:t>
      </w:r>
      <w:r w:rsidRPr="00D73117">
        <w:rPr>
          <w:rFonts w:ascii="Arial" w:hAnsi="Arial" w:cs="Arial"/>
        </w:rPr>
        <w:t>Disclosure</w:t>
      </w:r>
      <w:r w:rsidRPr="00D73117">
        <w:rPr>
          <w:rFonts w:ascii="Arial" w:hAnsi="Arial" w:cs="Arial"/>
          <w:spacing w:val="-6"/>
        </w:rPr>
        <w:t xml:space="preserve"> </w:t>
      </w:r>
      <w:r w:rsidRPr="00D73117">
        <w:rPr>
          <w:rFonts w:ascii="Arial" w:hAnsi="Arial" w:cs="Arial"/>
        </w:rPr>
        <w:t>Guidance</w:t>
      </w:r>
      <w:r w:rsidRPr="00D73117">
        <w:rPr>
          <w:rFonts w:ascii="Arial" w:hAnsi="Arial" w:cs="Arial"/>
          <w:spacing w:val="-6"/>
        </w:rPr>
        <w:t xml:space="preserve"> </w:t>
      </w:r>
      <w:r w:rsidRPr="00D73117">
        <w:rPr>
          <w:rFonts w:ascii="Arial" w:hAnsi="Arial" w:cs="Arial"/>
        </w:rPr>
        <w:t>and</w:t>
      </w:r>
      <w:r w:rsidRPr="00D73117">
        <w:rPr>
          <w:rFonts w:ascii="Arial" w:hAnsi="Arial" w:cs="Arial"/>
          <w:spacing w:val="-7"/>
        </w:rPr>
        <w:t xml:space="preserve"> </w:t>
      </w:r>
      <w:r w:rsidRPr="00D73117">
        <w:rPr>
          <w:rFonts w:ascii="Arial" w:hAnsi="Arial" w:cs="Arial"/>
        </w:rPr>
        <w:t>Transparency</w:t>
      </w:r>
      <w:r w:rsidRPr="00D73117">
        <w:rPr>
          <w:rFonts w:ascii="Arial" w:hAnsi="Arial" w:cs="Arial"/>
          <w:spacing w:val="-7"/>
        </w:rPr>
        <w:t xml:space="preserve"> </w:t>
      </w:r>
      <w:r w:rsidRPr="00D73117">
        <w:rPr>
          <w:rFonts w:ascii="Arial" w:hAnsi="Arial" w:cs="Arial"/>
        </w:rPr>
        <w:t>Rules</w:t>
      </w:r>
      <w:r>
        <w:rPr>
          <w:rFonts w:ascii="Arial" w:hAnsi="Arial" w:cs="Arial"/>
        </w:rPr>
        <w:t xml:space="preserve"> published by the Financial Conduct Authority</w:t>
      </w:r>
      <w:r w:rsidRPr="00D73117">
        <w:rPr>
          <w:rFonts w:ascii="Arial" w:hAnsi="Arial" w:cs="Arial"/>
          <w:spacing w:val="-6"/>
        </w:rPr>
        <w:t xml:space="preserve"> </w:t>
      </w:r>
      <w:r w:rsidRPr="00D73117">
        <w:rPr>
          <w:rFonts w:ascii="Arial" w:hAnsi="Arial" w:cs="Arial"/>
        </w:rPr>
        <w:t>and any other applicable rules, as</w:t>
      </w:r>
      <w:r w:rsidRPr="00D73117">
        <w:rPr>
          <w:rFonts w:ascii="Arial" w:hAnsi="Arial" w:cs="Arial"/>
          <w:spacing w:val="-8"/>
        </w:rPr>
        <w:t xml:space="preserve"> </w:t>
      </w:r>
      <w:r w:rsidRPr="00D73117">
        <w:rPr>
          <w:rFonts w:ascii="Arial" w:hAnsi="Arial" w:cs="Arial"/>
        </w:rPr>
        <w:t>appropriate</w:t>
      </w:r>
      <w:r w:rsidR="00F25F8F">
        <w:rPr>
          <w:rFonts w:ascii="Arial" w:hAnsi="Arial" w:cs="Arial"/>
        </w:rPr>
        <w:t>;</w:t>
      </w:r>
    </w:p>
    <w:p w14:paraId="0D40014E" w14:textId="77777777" w:rsidR="00F25F8F" w:rsidRPr="0028311A" w:rsidRDefault="00F25F8F" w:rsidP="005930DA">
      <w:pPr>
        <w:pStyle w:val="ListParagraph"/>
        <w:ind w:left="709"/>
        <w:jc w:val="both"/>
        <w:rPr>
          <w:rFonts w:ascii="Arial" w:hAnsi="Arial" w:cs="Arial"/>
        </w:rPr>
      </w:pPr>
    </w:p>
    <w:p w14:paraId="15080A36" w14:textId="02A4520F" w:rsidR="00F25F8F" w:rsidRDefault="00F25F8F" w:rsidP="005930DA">
      <w:pPr>
        <w:pStyle w:val="ListParagraph"/>
        <w:numPr>
          <w:ilvl w:val="1"/>
          <w:numId w:val="1"/>
        </w:numPr>
        <w:tabs>
          <w:tab w:val="left" w:pos="747"/>
        </w:tabs>
        <w:ind w:left="709" w:hanging="709"/>
        <w:jc w:val="both"/>
        <w:rPr>
          <w:rFonts w:ascii="Arial" w:hAnsi="Arial" w:cs="Arial"/>
        </w:rPr>
      </w:pPr>
      <w:r w:rsidRPr="00957AF6">
        <w:rPr>
          <w:rFonts w:ascii="Arial" w:hAnsi="Arial" w:cs="Arial"/>
        </w:rPr>
        <w:t>monitor the progress of any relevant corporate governance or regulatory developments that may impact the Committee and recommend any action or changes it considers necessary to the Board for</w:t>
      </w:r>
      <w:r w:rsidRPr="00957AF6">
        <w:rPr>
          <w:rFonts w:ascii="Arial" w:hAnsi="Arial" w:cs="Arial"/>
          <w:spacing w:val="-16"/>
        </w:rPr>
        <w:t xml:space="preserve"> </w:t>
      </w:r>
      <w:r w:rsidRPr="00957AF6">
        <w:rPr>
          <w:rFonts w:ascii="Arial" w:hAnsi="Arial" w:cs="Arial"/>
        </w:rPr>
        <w:t>approval</w:t>
      </w:r>
      <w:r>
        <w:rPr>
          <w:rFonts w:ascii="Arial" w:hAnsi="Arial" w:cs="Arial"/>
        </w:rPr>
        <w:t>;</w:t>
      </w:r>
    </w:p>
    <w:p w14:paraId="3860AA0D" w14:textId="77777777" w:rsidR="00F25F8F" w:rsidRPr="0028311A" w:rsidRDefault="00F25F8F" w:rsidP="005930DA">
      <w:pPr>
        <w:pStyle w:val="ListParagraph"/>
        <w:ind w:left="709"/>
        <w:jc w:val="both"/>
        <w:rPr>
          <w:rFonts w:ascii="Arial" w:hAnsi="Arial" w:cs="Arial"/>
        </w:rPr>
      </w:pPr>
    </w:p>
    <w:p w14:paraId="74ECB820" w14:textId="72C97EC3" w:rsidR="00F25F8F" w:rsidRDefault="00F25F8F" w:rsidP="005930DA">
      <w:pPr>
        <w:pStyle w:val="ListParagraph"/>
        <w:numPr>
          <w:ilvl w:val="1"/>
          <w:numId w:val="1"/>
        </w:numPr>
        <w:tabs>
          <w:tab w:val="left" w:pos="747"/>
        </w:tabs>
        <w:ind w:left="709" w:hanging="709"/>
        <w:jc w:val="both"/>
        <w:rPr>
          <w:rFonts w:ascii="Arial" w:hAnsi="Arial" w:cs="Arial"/>
        </w:rPr>
      </w:pPr>
      <w:r w:rsidRPr="00D00C18">
        <w:rPr>
          <w:rFonts w:ascii="Arial" w:hAnsi="Arial" w:cs="Arial"/>
        </w:rPr>
        <w:t>consider and appropriately take into account the Group’s ESG strategy and any implications of this during its discussions and decision making;</w:t>
      </w:r>
    </w:p>
    <w:p w14:paraId="217FA178" w14:textId="77777777" w:rsidR="00E25EB2" w:rsidRPr="0028311A" w:rsidRDefault="00E25EB2" w:rsidP="005930DA">
      <w:pPr>
        <w:pStyle w:val="ListParagraph"/>
        <w:ind w:left="709"/>
        <w:jc w:val="both"/>
        <w:rPr>
          <w:rFonts w:ascii="Arial" w:hAnsi="Arial" w:cs="Arial"/>
        </w:rPr>
      </w:pPr>
    </w:p>
    <w:p w14:paraId="3932D92A" w14:textId="4EBF0749" w:rsidR="00F25F8F" w:rsidRPr="00E25EB2" w:rsidRDefault="00F25F8F" w:rsidP="005930DA">
      <w:pPr>
        <w:pStyle w:val="ListParagraph"/>
        <w:numPr>
          <w:ilvl w:val="1"/>
          <w:numId w:val="1"/>
        </w:numPr>
        <w:ind w:left="709" w:hanging="709"/>
        <w:jc w:val="both"/>
      </w:pPr>
      <w:r w:rsidRPr="0028311A">
        <w:rPr>
          <w:rFonts w:ascii="Arial" w:hAnsi="Arial" w:cs="Arial"/>
        </w:rPr>
        <w:t xml:space="preserve">work and liaise as necessary with all Board </w:t>
      </w:r>
      <w:r w:rsidR="007D3F1F">
        <w:rPr>
          <w:rFonts w:ascii="Arial" w:hAnsi="Arial" w:cs="Arial"/>
        </w:rPr>
        <w:t>c</w:t>
      </w:r>
      <w:r w:rsidRPr="0028311A">
        <w:rPr>
          <w:rFonts w:ascii="Arial" w:hAnsi="Arial" w:cs="Arial"/>
        </w:rPr>
        <w:t>ommittees; and</w:t>
      </w:r>
    </w:p>
    <w:p w14:paraId="6D42154C" w14:textId="77777777" w:rsidR="00F25F8F" w:rsidRPr="00F25F8F" w:rsidRDefault="00F25F8F" w:rsidP="005930DA">
      <w:pPr>
        <w:ind w:left="709" w:hanging="709"/>
        <w:jc w:val="both"/>
      </w:pPr>
    </w:p>
    <w:p w14:paraId="35BA5545" w14:textId="3F257B5E" w:rsidR="00D73117" w:rsidRDefault="00F25F8F" w:rsidP="005930DA">
      <w:pPr>
        <w:ind w:left="709" w:hanging="709"/>
        <w:rPr>
          <w:rFonts w:ascii="Arial" w:hAnsi="Arial" w:cs="Arial"/>
        </w:rPr>
      </w:pPr>
      <w:r>
        <w:t>12.</w:t>
      </w:r>
      <w:r w:rsidRPr="005930DA">
        <w:rPr>
          <w:rFonts w:ascii="Arial" w:hAnsi="Arial" w:cs="Arial"/>
        </w:rPr>
        <w:t xml:space="preserve">7 </w:t>
      </w:r>
      <w:r w:rsidR="00E25EB2" w:rsidRPr="005930DA">
        <w:rPr>
          <w:rFonts w:ascii="Arial" w:hAnsi="Arial" w:cs="Arial"/>
        </w:rPr>
        <w:t xml:space="preserve"> </w:t>
      </w:r>
      <w:r w:rsidR="001E0531" w:rsidRPr="005930DA">
        <w:rPr>
          <w:rFonts w:ascii="Arial" w:hAnsi="Arial" w:cs="Arial"/>
        </w:rPr>
        <w:t xml:space="preserve">  </w:t>
      </w:r>
      <w:r w:rsidR="00D73117" w:rsidRPr="005930DA">
        <w:rPr>
          <w:rFonts w:ascii="Arial" w:hAnsi="Arial" w:cs="Arial"/>
        </w:rPr>
        <w:t xml:space="preserve">At least </w:t>
      </w:r>
      <w:r w:rsidR="004B5BE2">
        <w:rPr>
          <w:rFonts w:ascii="Arial" w:hAnsi="Arial" w:cs="Arial"/>
        </w:rPr>
        <w:t>annually</w:t>
      </w:r>
      <w:r w:rsidR="007D3F1F" w:rsidRPr="005930DA">
        <w:rPr>
          <w:rFonts w:ascii="Arial" w:hAnsi="Arial" w:cs="Arial"/>
        </w:rPr>
        <w:t xml:space="preserve">, </w:t>
      </w:r>
      <w:r w:rsidR="00D73117" w:rsidRPr="005930DA">
        <w:rPr>
          <w:rFonts w:ascii="Arial" w:hAnsi="Arial" w:cs="Arial"/>
        </w:rPr>
        <w:t xml:space="preserve">review its own performance, constitution and terms of reference to ensure it is operating </w:t>
      </w:r>
      <w:r w:rsidR="007D3F1F" w:rsidRPr="005930DA">
        <w:rPr>
          <w:rFonts w:ascii="Arial" w:hAnsi="Arial" w:cs="Arial"/>
        </w:rPr>
        <w:t xml:space="preserve">at maximum </w:t>
      </w:r>
      <w:r w:rsidR="00D73117" w:rsidRPr="005930DA">
        <w:rPr>
          <w:rFonts w:ascii="Arial" w:hAnsi="Arial" w:cs="Arial"/>
        </w:rPr>
        <w:t>effective</w:t>
      </w:r>
      <w:r w:rsidR="007D3F1F" w:rsidRPr="005930DA">
        <w:rPr>
          <w:rFonts w:ascii="Arial" w:hAnsi="Arial" w:cs="Arial"/>
        </w:rPr>
        <w:t>ness</w:t>
      </w:r>
      <w:r w:rsidR="00D73117" w:rsidRPr="005930DA">
        <w:rPr>
          <w:rFonts w:ascii="Arial" w:hAnsi="Arial" w:cs="Arial"/>
        </w:rPr>
        <w:t xml:space="preserve"> and recommend any changes it considers necessary to the Board for approval.</w:t>
      </w:r>
      <w:r w:rsidR="007D3F1F" w:rsidRPr="005930DA">
        <w:rPr>
          <w:rFonts w:ascii="Arial" w:hAnsi="Arial" w:cs="Arial"/>
        </w:rPr>
        <w:t xml:space="preserve"> The Board shall review the Committee’s effectiveness annually. </w:t>
      </w:r>
    </w:p>
    <w:p w14:paraId="7E89A936" w14:textId="657D3CA6" w:rsidR="007D3F1F" w:rsidRDefault="007D3F1F" w:rsidP="00E25EB2">
      <w:pPr>
        <w:pStyle w:val="ListParagraph"/>
        <w:ind w:left="993" w:hanging="567"/>
        <w:jc w:val="both"/>
        <w:rPr>
          <w:rFonts w:ascii="Arial" w:hAnsi="Arial" w:cs="Arial"/>
        </w:rPr>
      </w:pPr>
    </w:p>
    <w:p w14:paraId="162D7BC2" w14:textId="77777777" w:rsidR="00CD6F62" w:rsidRPr="00D952F2" w:rsidRDefault="00CD6F62" w:rsidP="00581FEC">
      <w:pPr>
        <w:pStyle w:val="ListParagraph"/>
        <w:numPr>
          <w:ilvl w:val="0"/>
          <w:numId w:val="5"/>
        </w:numPr>
        <w:ind w:right="4"/>
        <w:jc w:val="both"/>
        <w:rPr>
          <w:rFonts w:ascii="Arial" w:hAnsi="Arial" w:cs="Arial"/>
          <w:b/>
          <w:bCs/>
        </w:rPr>
      </w:pPr>
      <w:r w:rsidRPr="00D952F2">
        <w:rPr>
          <w:rFonts w:ascii="Arial" w:hAnsi="Arial" w:cs="Arial"/>
          <w:b/>
          <w:bCs/>
        </w:rPr>
        <w:t>Definitions</w:t>
      </w:r>
    </w:p>
    <w:p w14:paraId="69F16FA1" w14:textId="77777777" w:rsidR="00CD6F62" w:rsidRDefault="00CD6F62" w:rsidP="00CD6F62">
      <w:pPr>
        <w:ind w:left="139" w:right="4"/>
        <w:rPr>
          <w:rFonts w:ascii="Arial" w:hAnsi="Arial" w:cs="Arial"/>
        </w:rPr>
      </w:pPr>
    </w:p>
    <w:p w14:paraId="6E546F7E" w14:textId="77777777" w:rsidR="00CD6F62" w:rsidRDefault="00CD6F62" w:rsidP="00CD6F62">
      <w:pPr>
        <w:pStyle w:val="BodyText"/>
        <w:spacing w:before="120"/>
        <w:ind w:left="142"/>
        <w:jc w:val="both"/>
        <w:rPr>
          <w:rFonts w:ascii="Arial" w:hAnsi="Arial" w:cs="Arial"/>
        </w:rPr>
      </w:pPr>
      <w:r w:rsidRPr="009B333F">
        <w:rPr>
          <w:rFonts w:ascii="Arial" w:hAnsi="Arial" w:cs="Arial"/>
        </w:rPr>
        <w:t xml:space="preserve">Reference to </w:t>
      </w:r>
      <w:r>
        <w:rPr>
          <w:rFonts w:ascii="Arial" w:hAnsi="Arial" w:cs="Arial"/>
        </w:rPr>
        <w:t>“</w:t>
      </w:r>
      <w:r w:rsidRPr="009B333F">
        <w:rPr>
          <w:rFonts w:ascii="Arial" w:hAnsi="Arial" w:cs="Arial"/>
        </w:rPr>
        <w:t>the Board</w:t>
      </w:r>
      <w:r>
        <w:rPr>
          <w:rFonts w:ascii="Arial" w:hAnsi="Arial" w:cs="Arial"/>
        </w:rPr>
        <w:t>”</w:t>
      </w:r>
      <w:r w:rsidRPr="009B333F">
        <w:rPr>
          <w:rFonts w:ascii="Arial" w:hAnsi="Arial" w:cs="Arial"/>
        </w:rPr>
        <w:t xml:space="preserve"> shall mean the Board of Directors of IG Group Holdings plc.</w:t>
      </w:r>
    </w:p>
    <w:p w14:paraId="38462637" w14:textId="77777777" w:rsidR="00CD6F62" w:rsidRPr="009B333F" w:rsidRDefault="00CD6F62" w:rsidP="00CD6F62">
      <w:pPr>
        <w:pStyle w:val="BodyText"/>
        <w:spacing w:before="120"/>
        <w:jc w:val="both"/>
        <w:rPr>
          <w:rFonts w:ascii="Arial" w:hAnsi="Arial" w:cs="Arial"/>
        </w:rPr>
      </w:pPr>
      <w:r>
        <w:rPr>
          <w:rFonts w:ascii="Arial" w:hAnsi="Arial" w:cs="Arial"/>
        </w:rPr>
        <w:t xml:space="preserve">  </w:t>
      </w:r>
      <w:r w:rsidRPr="009B333F">
        <w:rPr>
          <w:rFonts w:ascii="Arial" w:hAnsi="Arial" w:cs="Arial"/>
        </w:rPr>
        <w:t xml:space="preserve">Reference to </w:t>
      </w:r>
      <w:r>
        <w:rPr>
          <w:rFonts w:ascii="Arial" w:hAnsi="Arial" w:cs="Arial"/>
        </w:rPr>
        <w:t>“t</w:t>
      </w:r>
      <w:r w:rsidRPr="009B333F">
        <w:rPr>
          <w:rFonts w:ascii="Arial" w:hAnsi="Arial" w:cs="Arial"/>
        </w:rPr>
        <w:t>he Committee</w:t>
      </w:r>
      <w:r>
        <w:rPr>
          <w:rFonts w:ascii="Arial" w:hAnsi="Arial" w:cs="Arial"/>
        </w:rPr>
        <w:t>”</w:t>
      </w:r>
      <w:r w:rsidRPr="009B333F">
        <w:rPr>
          <w:rFonts w:ascii="Arial" w:hAnsi="Arial" w:cs="Arial"/>
        </w:rPr>
        <w:t xml:space="preserve"> shall mean the </w:t>
      </w:r>
      <w:r>
        <w:rPr>
          <w:rFonts w:ascii="Arial" w:hAnsi="Arial" w:cs="Arial"/>
        </w:rPr>
        <w:t xml:space="preserve">Audit </w:t>
      </w:r>
      <w:r w:rsidRPr="009B333F">
        <w:rPr>
          <w:rFonts w:ascii="Arial" w:hAnsi="Arial" w:cs="Arial"/>
        </w:rPr>
        <w:t>Committee.</w:t>
      </w:r>
    </w:p>
    <w:p w14:paraId="7634E61E" w14:textId="77777777" w:rsidR="00CD6F62" w:rsidRDefault="00CD6F62" w:rsidP="00CD6F62">
      <w:pPr>
        <w:pStyle w:val="BodyText"/>
        <w:spacing w:before="120"/>
        <w:ind w:left="142"/>
        <w:jc w:val="both"/>
        <w:rPr>
          <w:rFonts w:ascii="Arial" w:hAnsi="Arial" w:cs="Arial"/>
        </w:rPr>
      </w:pPr>
      <w:r w:rsidRPr="009B333F">
        <w:rPr>
          <w:rFonts w:ascii="Arial" w:hAnsi="Arial" w:cs="Arial"/>
        </w:rPr>
        <w:t xml:space="preserve">Reference to </w:t>
      </w:r>
      <w:r>
        <w:rPr>
          <w:rFonts w:ascii="Arial" w:hAnsi="Arial" w:cs="Arial"/>
        </w:rPr>
        <w:t>"the IG Group" or “the Group”</w:t>
      </w:r>
      <w:r w:rsidRPr="009B333F">
        <w:rPr>
          <w:rFonts w:ascii="Arial" w:hAnsi="Arial" w:cs="Arial"/>
        </w:rPr>
        <w:t xml:space="preserve"> shall mean IG Group Holdings plc</w:t>
      </w:r>
      <w:r>
        <w:rPr>
          <w:rFonts w:ascii="Arial" w:hAnsi="Arial" w:cs="Arial"/>
        </w:rPr>
        <w:t xml:space="preserve"> and include the UK regulated entities, IG Markets Limited (“IGM”), IG Index Limited (“IGI”), IG Trading and Investments Limited (“IG T&amp;I”) and all other companies in the IG Group Holdings plc group of companies</w:t>
      </w:r>
      <w:r w:rsidRPr="009B333F">
        <w:rPr>
          <w:rFonts w:ascii="Arial" w:hAnsi="Arial" w:cs="Arial"/>
        </w:rPr>
        <w:t>.</w:t>
      </w:r>
    </w:p>
    <w:p w14:paraId="108C979B" w14:textId="3EACC1B8" w:rsidR="007D3F1F" w:rsidRPr="00CD6F62" w:rsidRDefault="007D3F1F" w:rsidP="00CD6F62">
      <w:pPr>
        <w:jc w:val="both"/>
        <w:rPr>
          <w:rFonts w:ascii="Arial" w:hAnsi="Arial" w:cs="Arial"/>
        </w:rPr>
      </w:pPr>
    </w:p>
    <w:p w14:paraId="5E10B170" w14:textId="2500CD9B" w:rsidR="00D73117" w:rsidRPr="00626A2E" w:rsidRDefault="00D73117" w:rsidP="00626A2E">
      <w:pPr>
        <w:pStyle w:val="ListParagraph"/>
        <w:ind w:left="993" w:hanging="426"/>
        <w:jc w:val="both"/>
      </w:pPr>
    </w:p>
    <w:sectPr w:rsidR="00D73117" w:rsidRPr="00626A2E" w:rsidSect="00902B28">
      <w:headerReference w:type="even" r:id="rId11"/>
      <w:headerReference w:type="default" r:id="rId12"/>
      <w:footerReference w:type="even" r:id="rId13"/>
      <w:footerReference w:type="default" r:id="rId14"/>
      <w:headerReference w:type="first" r:id="rId15"/>
      <w:footerReference w:type="first" r:id="rId16"/>
      <w:pgSz w:w="11910" w:h="16840"/>
      <w:pgMar w:top="1440" w:right="1137" w:bottom="1440" w:left="1134" w:header="100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D3C6E" w14:textId="77777777" w:rsidR="00AD6146" w:rsidRDefault="00AD6146">
      <w:r>
        <w:separator/>
      </w:r>
    </w:p>
  </w:endnote>
  <w:endnote w:type="continuationSeparator" w:id="0">
    <w:p w14:paraId="07DD9390" w14:textId="77777777" w:rsidR="00AD6146" w:rsidRDefault="00AD6146">
      <w:r>
        <w:continuationSeparator/>
      </w:r>
    </w:p>
  </w:endnote>
  <w:endnote w:type="continuationNotice" w:id="1">
    <w:p w14:paraId="1FE8B838" w14:textId="77777777" w:rsidR="00D414B1" w:rsidRDefault="00D41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CD13" w14:textId="77777777" w:rsidR="00862D2B" w:rsidRDefault="00862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1F2F" w14:textId="01EA32C0" w:rsidR="00941F04" w:rsidRDefault="00194D48">
    <w:pPr>
      <w:pStyle w:val="Footer"/>
    </w:pPr>
    <w:r>
      <w:t>Approved: May</w:t>
    </w:r>
    <w:r w:rsidR="00B97A36">
      <w:t xml:space="preserve"> </w:t>
    </w:r>
    <w:r>
      <w:t>2023</w:t>
    </w:r>
  </w:p>
  <w:p w14:paraId="3C2D491B" w14:textId="77777777" w:rsidR="00941F04" w:rsidRDefault="00941F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A952" w14:textId="77777777" w:rsidR="00862D2B" w:rsidRDefault="00862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BBF67" w14:textId="77777777" w:rsidR="00AD6146" w:rsidRDefault="00AD6146">
      <w:r>
        <w:separator/>
      </w:r>
    </w:p>
  </w:footnote>
  <w:footnote w:type="continuationSeparator" w:id="0">
    <w:p w14:paraId="18CF7C5E" w14:textId="77777777" w:rsidR="00AD6146" w:rsidRDefault="00AD6146">
      <w:r>
        <w:continuationSeparator/>
      </w:r>
    </w:p>
  </w:footnote>
  <w:footnote w:type="continuationNotice" w:id="1">
    <w:p w14:paraId="6434C534" w14:textId="77777777" w:rsidR="00D414B1" w:rsidRDefault="00D414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4FC3" w14:textId="77777777" w:rsidR="00862D2B" w:rsidRDefault="00862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B420" w14:textId="77777777" w:rsidR="00862D2B" w:rsidRDefault="00862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1C61" w14:textId="45EEC8F6" w:rsidR="005B1944" w:rsidRPr="003B1009" w:rsidRDefault="00C36495" w:rsidP="005B1944">
    <w:pPr>
      <w:pStyle w:val="Header"/>
      <w:tabs>
        <w:tab w:val="center" w:pos="5230"/>
        <w:tab w:val="left" w:pos="9360"/>
      </w:tabs>
      <w:jc w:val="right"/>
      <w:rPr>
        <w:rFonts w:ascii="Arial" w:hAnsi="Arial" w:cs="Arial"/>
        <w:caps/>
      </w:rPr>
    </w:pPr>
    <w:r>
      <w:rPr>
        <w:noProof/>
      </w:rPr>
      <mc:AlternateContent>
        <mc:Choice Requires="wpg">
          <w:drawing>
            <wp:anchor distT="0" distB="0" distL="114300" distR="114300" simplePos="0" relativeHeight="251658241" behindDoc="0" locked="0" layoutInCell="1" allowOverlap="1" wp14:anchorId="74A0723C" wp14:editId="4056BE6B">
              <wp:simplePos x="0" y="0"/>
              <wp:positionH relativeFrom="page">
                <wp:posOffset>3485515</wp:posOffset>
              </wp:positionH>
              <wp:positionV relativeFrom="paragraph">
                <wp:posOffset>-638175</wp:posOffset>
              </wp:positionV>
              <wp:extent cx="4090317" cy="815340"/>
              <wp:effectExtent l="0" t="0" r="5715" b="3810"/>
              <wp:wrapNone/>
              <wp:docPr id="4" name="Group 4"/>
              <wp:cNvGraphicFramePr/>
              <a:graphic xmlns:a="http://schemas.openxmlformats.org/drawingml/2006/main">
                <a:graphicData uri="http://schemas.microsoft.com/office/word/2010/wordprocessingGroup">
                  <wpg:wgp>
                    <wpg:cNvGrpSpPr/>
                    <wpg:grpSpPr>
                      <a:xfrm>
                        <a:off x="0" y="0"/>
                        <a:ext cx="4090317" cy="815340"/>
                        <a:chOff x="0" y="0"/>
                        <a:chExt cx="4090317" cy="815340"/>
                      </a:xfrm>
                    </wpg:grpSpPr>
                    <wps:wsp>
                      <wps:cNvPr id="5" name="Rectangle 5"/>
                      <wps:cNvSpPr/>
                      <wps:spPr>
                        <a:xfrm>
                          <a:off x="2933700" y="0"/>
                          <a:ext cx="1156617" cy="670851"/>
                        </a:xfrm>
                        <a:prstGeom prst="rect">
                          <a:avLst/>
                        </a:prstGeom>
                        <a:solidFill>
                          <a:srgbClr val="0029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022350" y="292100"/>
                          <a:ext cx="961390" cy="194310"/>
                        </a:xfrm>
                        <a:prstGeom prst="rect">
                          <a:avLst/>
                        </a:prstGeom>
                        <a:solidFill>
                          <a:srgbClr val="0029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987550" y="488950"/>
                          <a:ext cx="1193800" cy="326390"/>
                        </a:xfrm>
                        <a:prstGeom prst="rect">
                          <a:avLst/>
                        </a:prstGeom>
                        <a:solidFill>
                          <a:srgbClr val="FF6E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0"/>
                          <a:ext cx="628015" cy="244475"/>
                        </a:xfrm>
                        <a:prstGeom prst="rect">
                          <a:avLst/>
                        </a:prstGeom>
                        <a:solidFill>
                          <a:srgbClr val="FF6E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56F838" id="Group 4" o:spid="_x0000_s1026" style="position:absolute;margin-left:274.45pt;margin-top:-50.25pt;width:322.05pt;height:64.2pt;z-index:251658241;mso-position-horizontal-relative:page" coordsize="40903,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">
              <v:rect id="Rectangle 5" o:spid="_x0000_s1027" style="position:absolute;left:29337;width:11566;height:6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" fillcolor="#002954" stroked="f" strokeweight="2pt"/>
              <v:rect id="Rectangle 6" o:spid="_x0000_s1028" style="position:absolute;left:10223;top:2921;width:9614;height:1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" fillcolor="#002954" stroked="f" strokeweight="2pt"/>
              <v:rect id="Rectangle 7" o:spid="_x0000_s1029" style="position:absolute;left:19875;top:4889;width:11938;height:3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" fillcolor="#ff6e1e" stroked="f" strokeweight="2pt"/>
              <v:rect id="Rectangle 8" o:spid="_x0000_s1030" style="position:absolute;width:6280;height:2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" fillcolor="#ff6e1e" stroked="f" strokeweight="2pt"/>
              <w10:wrap anchorx="page"/>
            </v:group>
          </w:pict>
        </mc:Fallback>
      </mc:AlternateContent>
    </w:r>
    <w:r w:rsidR="001D0DC3">
      <w:rPr>
        <w:rFonts w:ascii="Arial" w:hAnsi="Arial" w:cs="Arial"/>
        <w:b/>
        <w:bCs/>
        <w:noProof/>
        <w:color w:val="FFFFFF" w:themeColor="background1"/>
        <w:sz w:val="21"/>
        <w:szCs w:val="16"/>
      </w:rPr>
      <w:drawing>
        <wp:anchor distT="0" distB="0" distL="114300" distR="114300" simplePos="0" relativeHeight="251658240" behindDoc="1" locked="0" layoutInCell="1" allowOverlap="1" wp14:anchorId="1E22750D" wp14:editId="4476E8D5">
          <wp:simplePos x="0" y="0"/>
          <wp:positionH relativeFrom="page">
            <wp:posOffset>-635</wp:posOffset>
          </wp:positionH>
          <wp:positionV relativeFrom="page">
            <wp:posOffset>16510</wp:posOffset>
          </wp:positionV>
          <wp:extent cx="1822450" cy="799994"/>
          <wp:effectExtent l="0" t="0" r="6350" b="635"/>
          <wp:wrapNone/>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rotWithShape="1">
                  <a:blip r:embed="rId1"/>
                  <a:srcRect r="73100" b="91655"/>
                  <a:stretch/>
                </pic:blipFill>
                <pic:spPr bwMode="auto">
                  <a:xfrm>
                    <a:off x="0" y="0"/>
                    <a:ext cx="1822450" cy="7999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BA615A" w14:textId="77777777" w:rsidR="005B1944" w:rsidRDefault="005B1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99E"/>
    <w:multiLevelType w:val="multilevel"/>
    <w:tmpl w:val="573C1316"/>
    <w:lvl w:ilvl="0">
      <w:start w:val="1"/>
      <w:numFmt w:val="decimal"/>
      <w:lvlText w:val="%1."/>
      <w:lvlJc w:val="left"/>
      <w:pPr>
        <w:ind w:left="502" w:hanging="360"/>
      </w:pPr>
      <w:rPr>
        <w:rFonts w:hint="default"/>
        <w:b w:val="0"/>
        <w:bCs w:val="0"/>
        <w:i w:val="0"/>
        <w:iCs/>
        <w:sz w:val="22"/>
        <w:szCs w:val="22"/>
      </w:rPr>
    </w:lvl>
    <w:lvl w:ilvl="1">
      <w:start w:val="1"/>
      <w:numFmt w:val="decimal"/>
      <w:lvlText w:val="%1.%2."/>
      <w:lvlJc w:val="left"/>
      <w:pPr>
        <w:ind w:left="934" w:hanging="432"/>
      </w:pPr>
      <w:rPr>
        <w:rFonts w:hint="default"/>
        <w:b w:val="0"/>
        <w:bCs w:val="0"/>
        <w:i/>
        <w:iCs/>
        <w:sz w:val="22"/>
        <w:szCs w:val="22"/>
      </w:rPr>
    </w:lvl>
    <w:lvl w:ilvl="2">
      <w:start w:val="1"/>
      <w:numFmt w:val="decimal"/>
      <w:lvlText w:val="%1.%2.%3."/>
      <w:lvlJc w:val="left"/>
      <w:pPr>
        <w:ind w:left="1366" w:hanging="504"/>
      </w:pPr>
      <w:rPr>
        <w:rFonts w:hint="default"/>
        <w:b w:val="0"/>
        <w:bCs w:val="0"/>
        <w:i/>
        <w:iCs/>
        <w:sz w:val="22"/>
        <w:szCs w:val="22"/>
      </w:rPr>
    </w:lvl>
    <w:lvl w:ilvl="3">
      <w:start w:val="1"/>
      <w:numFmt w:val="decimal"/>
      <w:lvlText w:val="%1.%2.%3.%4."/>
      <w:lvlJc w:val="left"/>
      <w:pPr>
        <w:ind w:left="1870" w:hanging="648"/>
      </w:pPr>
      <w:rPr>
        <w:rFonts w:hint="default"/>
        <w:b w:val="0"/>
        <w:bCs w:val="0"/>
        <w:i/>
        <w:iCs/>
        <w:sz w:val="22"/>
        <w:szCs w:val="22"/>
      </w:rPr>
    </w:lvl>
    <w:lvl w:ilvl="4">
      <w:start w:val="1"/>
      <w:numFmt w:val="decimal"/>
      <w:lvlText w:val="%1.%2.%3.%4.%5."/>
      <w:lvlJc w:val="left"/>
      <w:pPr>
        <w:ind w:left="2374" w:hanging="792"/>
      </w:pPr>
      <w:rPr>
        <w:rFonts w:hint="default"/>
        <w:b w:val="0"/>
        <w:bCs w:val="0"/>
        <w:i/>
        <w:iCs/>
        <w:sz w:val="22"/>
        <w:szCs w:val="22"/>
      </w:rPr>
    </w:lvl>
    <w:lvl w:ilvl="5">
      <w:start w:val="1"/>
      <w:numFmt w:val="decimal"/>
      <w:lvlText w:val="%1.%2.%3.%4.%5.%6."/>
      <w:lvlJc w:val="left"/>
      <w:pPr>
        <w:ind w:left="2878" w:hanging="936"/>
      </w:pPr>
      <w:rPr>
        <w:rFonts w:hint="default"/>
        <w:b w:val="0"/>
        <w:bCs w:val="0"/>
        <w:i/>
        <w:iCs/>
        <w:sz w:val="22"/>
        <w:szCs w:val="22"/>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 w15:restartNumberingAfterBreak="0">
    <w:nsid w:val="123A68F3"/>
    <w:multiLevelType w:val="multilevel"/>
    <w:tmpl w:val="09542FE2"/>
    <w:lvl w:ilvl="0">
      <w:start w:val="1"/>
      <w:numFmt w:val="decimal"/>
      <w:lvlText w:val="%1"/>
      <w:lvlJc w:val="left"/>
      <w:pPr>
        <w:ind w:left="1134" w:hanging="709"/>
      </w:pPr>
      <w:rPr>
        <w:rFonts w:ascii="Century Gothic" w:eastAsia="Century Gothic" w:hAnsi="Century Gothic" w:cs="Century Gothic" w:hint="default"/>
        <w:b/>
        <w:bCs/>
        <w:w w:val="100"/>
        <w:sz w:val="22"/>
        <w:szCs w:val="22"/>
        <w:lang w:val="en-GB" w:eastAsia="en-GB" w:bidi="en-GB"/>
      </w:rPr>
    </w:lvl>
    <w:lvl w:ilvl="1">
      <w:start w:val="1"/>
      <w:numFmt w:val="decimal"/>
      <w:lvlText w:val="%1.%2"/>
      <w:lvlJc w:val="left"/>
      <w:pPr>
        <w:ind w:left="1559" w:hanging="709"/>
      </w:pPr>
      <w:rPr>
        <w:rFonts w:hint="default"/>
        <w:b w:val="0"/>
        <w:bCs w:val="0"/>
        <w:spacing w:val="-2"/>
        <w:w w:val="100"/>
        <w:lang w:val="en-GB" w:eastAsia="en-GB" w:bidi="en-GB"/>
      </w:rPr>
    </w:lvl>
    <w:lvl w:ilvl="2">
      <w:numFmt w:val="bullet"/>
      <w:lvlText w:val=""/>
      <w:lvlJc w:val="left"/>
      <w:pPr>
        <w:ind w:left="2420" w:hanging="360"/>
      </w:pPr>
      <w:rPr>
        <w:rFonts w:ascii="Symbol" w:eastAsia="Symbol" w:hAnsi="Symbol" w:cs="Symbol" w:hint="default"/>
        <w:w w:val="100"/>
        <w:sz w:val="22"/>
        <w:szCs w:val="22"/>
        <w:lang w:val="en-GB" w:eastAsia="en-GB" w:bidi="en-GB"/>
      </w:rPr>
    </w:lvl>
    <w:lvl w:ilvl="3">
      <w:numFmt w:val="bullet"/>
      <w:lvlText w:val="•"/>
      <w:lvlJc w:val="left"/>
      <w:pPr>
        <w:ind w:left="3499" w:hanging="360"/>
      </w:pPr>
      <w:rPr>
        <w:rFonts w:hint="default"/>
        <w:lang w:val="en-GB" w:eastAsia="en-GB" w:bidi="en-GB"/>
      </w:rPr>
    </w:lvl>
    <w:lvl w:ilvl="4">
      <w:numFmt w:val="bullet"/>
      <w:lvlText w:val="•"/>
      <w:lvlJc w:val="left"/>
      <w:pPr>
        <w:ind w:left="4585" w:hanging="360"/>
      </w:pPr>
      <w:rPr>
        <w:rFonts w:hint="default"/>
        <w:lang w:val="en-GB" w:eastAsia="en-GB" w:bidi="en-GB"/>
      </w:rPr>
    </w:lvl>
    <w:lvl w:ilvl="5">
      <w:numFmt w:val="bullet"/>
      <w:lvlText w:val="•"/>
      <w:lvlJc w:val="left"/>
      <w:pPr>
        <w:ind w:left="5671" w:hanging="360"/>
      </w:pPr>
      <w:rPr>
        <w:rFonts w:hint="default"/>
        <w:lang w:val="en-GB" w:eastAsia="en-GB" w:bidi="en-GB"/>
      </w:rPr>
    </w:lvl>
    <w:lvl w:ilvl="6">
      <w:numFmt w:val="bullet"/>
      <w:lvlText w:val="•"/>
      <w:lvlJc w:val="left"/>
      <w:pPr>
        <w:ind w:left="6757" w:hanging="360"/>
      </w:pPr>
      <w:rPr>
        <w:rFonts w:hint="default"/>
        <w:lang w:val="en-GB" w:eastAsia="en-GB" w:bidi="en-GB"/>
      </w:rPr>
    </w:lvl>
    <w:lvl w:ilvl="7">
      <w:numFmt w:val="bullet"/>
      <w:lvlText w:val="•"/>
      <w:lvlJc w:val="left"/>
      <w:pPr>
        <w:ind w:left="7843" w:hanging="360"/>
      </w:pPr>
      <w:rPr>
        <w:rFonts w:hint="default"/>
        <w:lang w:val="en-GB" w:eastAsia="en-GB" w:bidi="en-GB"/>
      </w:rPr>
    </w:lvl>
    <w:lvl w:ilvl="8">
      <w:numFmt w:val="bullet"/>
      <w:lvlText w:val="•"/>
      <w:lvlJc w:val="left"/>
      <w:pPr>
        <w:ind w:left="8928" w:hanging="360"/>
      </w:pPr>
      <w:rPr>
        <w:rFonts w:hint="default"/>
        <w:lang w:val="en-GB" w:eastAsia="en-GB" w:bidi="en-GB"/>
      </w:rPr>
    </w:lvl>
  </w:abstractNum>
  <w:abstractNum w:abstractNumId="2" w15:restartNumberingAfterBreak="0">
    <w:nsid w:val="14B63268"/>
    <w:multiLevelType w:val="hybridMultilevel"/>
    <w:tmpl w:val="D5D03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20800"/>
    <w:multiLevelType w:val="hybridMultilevel"/>
    <w:tmpl w:val="2416D9B6"/>
    <w:lvl w:ilvl="0" w:tplc="A80A05E2">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70559F"/>
    <w:multiLevelType w:val="hybridMultilevel"/>
    <w:tmpl w:val="0F9664E4"/>
    <w:lvl w:ilvl="0" w:tplc="0809000F">
      <w:start w:val="1"/>
      <w:numFmt w:val="decimal"/>
      <w:lvlText w:val="%1."/>
      <w:lvlJc w:val="left"/>
      <w:pPr>
        <w:ind w:left="782" w:hanging="360"/>
      </w:pPr>
    </w:lvl>
    <w:lvl w:ilvl="1" w:tplc="08090019" w:tentative="1">
      <w:start w:val="1"/>
      <w:numFmt w:val="lowerLetter"/>
      <w:lvlText w:val="%2."/>
      <w:lvlJc w:val="left"/>
      <w:pPr>
        <w:ind w:left="1502" w:hanging="360"/>
      </w:p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5" w15:restartNumberingAfterBreak="0">
    <w:nsid w:val="29682743"/>
    <w:multiLevelType w:val="multilevel"/>
    <w:tmpl w:val="5F20D264"/>
    <w:lvl w:ilvl="0">
      <w:start w:val="11"/>
      <w:numFmt w:val="decimal"/>
      <w:lvlText w:val="%1"/>
      <w:lvlJc w:val="left"/>
      <w:pPr>
        <w:ind w:left="1164" w:hanging="738"/>
      </w:pPr>
      <w:rPr>
        <w:rFonts w:ascii="Arial" w:eastAsia="Calibri" w:hAnsi="Arial" w:cs="Arial" w:hint="default"/>
        <w:b/>
        <w:bCs/>
        <w:w w:val="100"/>
        <w:sz w:val="22"/>
        <w:szCs w:val="22"/>
        <w:lang w:val="en-GB" w:eastAsia="en-GB" w:bidi="en-GB"/>
      </w:rPr>
    </w:lvl>
    <w:lvl w:ilvl="1">
      <w:start w:val="1"/>
      <w:numFmt w:val="decimal"/>
      <w:lvlText w:val="%1.%2"/>
      <w:lvlJc w:val="left"/>
      <w:pPr>
        <w:ind w:left="1264" w:hanging="697"/>
      </w:pPr>
      <w:rPr>
        <w:rFonts w:ascii="Arial" w:eastAsia="Century Gothic" w:hAnsi="Arial" w:cs="Arial" w:hint="default"/>
        <w:spacing w:val="-2"/>
        <w:w w:val="100"/>
        <w:sz w:val="22"/>
        <w:szCs w:val="22"/>
        <w:lang w:val="en-GB" w:eastAsia="en-GB" w:bidi="en-GB"/>
      </w:rPr>
    </w:lvl>
    <w:lvl w:ilvl="2">
      <w:numFmt w:val="bullet"/>
      <w:lvlText w:val="•"/>
      <w:lvlJc w:val="left"/>
      <w:pPr>
        <w:ind w:left="2240" w:hanging="697"/>
      </w:pPr>
      <w:rPr>
        <w:rFonts w:hint="default"/>
        <w:lang w:val="en-GB" w:eastAsia="en-GB" w:bidi="en-GB"/>
      </w:rPr>
    </w:lvl>
    <w:lvl w:ilvl="3">
      <w:numFmt w:val="bullet"/>
      <w:lvlText w:val="•"/>
      <w:lvlJc w:val="left"/>
      <w:pPr>
        <w:ind w:left="3347" w:hanging="697"/>
      </w:pPr>
      <w:rPr>
        <w:rFonts w:hint="default"/>
        <w:lang w:val="en-GB" w:eastAsia="en-GB" w:bidi="en-GB"/>
      </w:rPr>
    </w:lvl>
    <w:lvl w:ilvl="4">
      <w:numFmt w:val="bullet"/>
      <w:lvlText w:val="•"/>
      <w:lvlJc w:val="left"/>
      <w:pPr>
        <w:ind w:left="4455" w:hanging="697"/>
      </w:pPr>
      <w:rPr>
        <w:rFonts w:hint="default"/>
        <w:lang w:val="en-GB" w:eastAsia="en-GB" w:bidi="en-GB"/>
      </w:rPr>
    </w:lvl>
    <w:lvl w:ilvl="5">
      <w:numFmt w:val="bullet"/>
      <w:lvlText w:val="•"/>
      <w:lvlJc w:val="left"/>
      <w:pPr>
        <w:ind w:left="5562" w:hanging="697"/>
      </w:pPr>
      <w:rPr>
        <w:rFonts w:hint="default"/>
        <w:lang w:val="en-GB" w:eastAsia="en-GB" w:bidi="en-GB"/>
      </w:rPr>
    </w:lvl>
    <w:lvl w:ilvl="6">
      <w:numFmt w:val="bullet"/>
      <w:lvlText w:val="•"/>
      <w:lvlJc w:val="left"/>
      <w:pPr>
        <w:ind w:left="6669" w:hanging="697"/>
      </w:pPr>
      <w:rPr>
        <w:rFonts w:hint="default"/>
        <w:lang w:val="en-GB" w:eastAsia="en-GB" w:bidi="en-GB"/>
      </w:rPr>
    </w:lvl>
    <w:lvl w:ilvl="7">
      <w:numFmt w:val="bullet"/>
      <w:lvlText w:val="•"/>
      <w:lvlJc w:val="left"/>
      <w:pPr>
        <w:ind w:left="7777" w:hanging="697"/>
      </w:pPr>
      <w:rPr>
        <w:rFonts w:hint="default"/>
        <w:lang w:val="en-GB" w:eastAsia="en-GB" w:bidi="en-GB"/>
      </w:rPr>
    </w:lvl>
    <w:lvl w:ilvl="8">
      <w:numFmt w:val="bullet"/>
      <w:lvlText w:val="•"/>
      <w:lvlJc w:val="left"/>
      <w:pPr>
        <w:ind w:left="8884" w:hanging="697"/>
      </w:pPr>
      <w:rPr>
        <w:rFonts w:hint="default"/>
        <w:lang w:val="en-GB" w:eastAsia="en-GB" w:bidi="en-GB"/>
      </w:rPr>
    </w:lvl>
  </w:abstractNum>
  <w:abstractNum w:abstractNumId="6" w15:restartNumberingAfterBreak="0">
    <w:nsid w:val="2FAA5AEB"/>
    <w:multiLevelType w:val="multilevel"/>
    <w:tmpl w:val="723CF8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C56B18"/>
    <w:multiLevelType w:val="multilevel"/>
    <w:tmpl w:val="F7B0CDA2"/>
    <w:lvl w:ilvl="0">
      <w:start w:val="1"/>
      <w:numFmt w:val="decimal"/>
      <w:lvlText w:val="%1."/>
      <w:lvlJc w:val="left"/>
      <w:pPr>
        <w:ind w:left="360" w:hanging="360"/>
      </w:pPr>
      <w:rPr>
        <w:rFonts w:hint="default"/>
      </w:rPr>
    </w:lvl>
    <w:lvl w:ilvl="1">
      <w:start w:val="2"/>
      <w:numFmt w:val="decimal"/>
      <w:pStyle w:val="SectionHeading"/>
      <w:lvlText w:val="%2.1"/>
      <w:lvlJc w:val="left"/>
      <w:pPr>
        <w:ind w:left="450" w:hanging="450"/>
      </w:pPr>
      <w:rPr>
        <w:rFonts w:hint="default"/>
      </w:rPr>
    </w:lvl>
    <w:lvl w:ilvl="2">
      <w:start w:val="1"/>
      <w:numFmt w:val="decimal"/>
      <w:lvlText w:val="%3.2.1.1"/>
      <w:lvlJc w:val="left"/>
      <w:pPr>
        <w:ind w:left="720" w:hanging="720"/>
      </w:pPr>
      <w:rPr>
        <w:rFonts w:hint="default"/>
        <w:b/>
      </w:rPr>
    </w:lvl>
    <w:lvl w:ilvl="3">
      <w:start w:val="1"/>
      <w:numFmt w:val="decimal"/>
      <w:isLgl/>
      <w:lvlText w:val="%1.%2.%3.%4"/>
      <w:lvlJc w:val="left"/>
      <w:pPr>
        <w:ind w:left="720" w:hanging="720"/>
      </w:pPr>
      <w:rPr>
        <w:rFonts w:hint="default"/>
        <w:b w:val="0"/>
        <w:sz w:val="22"/>
        <w:szCs w:val="22"/>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B8B12E7"/>
    <w:multiLevelType w:val="hybridMultilevel"/>
    <w:tmpl w:val="98D6C2F8"/>
    <w:lvl w:ilvl="0" w:tplc="32B492A4">
      <w:start w:val="1"/>
      <w:numFmt w:val="decimal"/>
      <w:lvlText w:val="%1."/>
      <w:lvlJc w:val="left"/>
      <w:pPr>
        <w:ind w:left="850" w:hanging="425"/>
      </w:pPr>
      <w:rPr>
        <w:rFonts w:ascii="Arial" w:eastAsia="Century Gothic" w:hAnsi="Arial" w:cs="Arial" w:hint="default"/>
        <w:w w:val="100"/>
        <w:sz w:val="22"/>
        <w:szCs w:val="22"/>
        <w:lang w:val="en-GB" w:eastAsia="en-GB" w:bidi="en-GB"/>
      </w:rPr>
    </w:lvl>
    <w:lvl w:ilvl="1" w:tplc="3D44D694">
      <w:numFmt w:val="bullet"/>
      <w:lvlText w:val="•"/>
      <w:lvlJc w:val="left"/>
      <w:pPr>
        <w:ind w:left="2194" w:hanging="425"/>
      </w:pPr>
      <w:rPr>
        <w:rFonts w:hint="default"/>
        <w:lang w:val="en-GB" w:eastAsia="en-GB" w:bidi="en-GB"/>
      </w:rPr>
    </w:lvl>
    <w:lvl w:ilvl="2" w:tplc="8278D6F2">
      <w:numFmt w:val="bullet"/>
      <w:lvlText w:val="•"/>
      <w:lvlJc w:val="left"/>
      <w:pPr>
        <w:ind w:left="3149" w:hanging="425"/>
      </w:pPr>
      <w:rPr>
        <w:rFonts w:hint="default"/>
        <w:lang w:val="en-GB" w:eastAsia="en-GB" w:bidi="en-GB"/>
      </w:rPr>
    </w:lvl>
    <w:lvl w:ilvl="3" w:tplc="B610F854">
      <w:numFmt w:val="bullet"/>
      <w:lvlText w:val="•"/>
      <w:lvlJc w:val="left"/>
      <w:pPr>
        <w:ind w:left="4103" w:hanging="425"/>
      </w:pPr>
      <w:rPr>
        <w:rFonts w:hint="default"/>
        <w:lang w:val="en-GB" w:eastAsia="en-GB" w:bidi="en-GB"/>
      </w:rPr>
    </w:lvl>
    <w:lvl w:ilvl="4" w:tplc="3AFE8D8C">
      <w:numFmt w:val="bullet"/>
      <w:lvlText w:val="•"/>
      <w:lvlJc w:val="left"/>
      <w:pPr>
        <w:ind w:left="5058" w:hanging="425"/>
      </w:pPr>
      <w:rPr>
        <w:rFonts w:hint="default"/>
        <w:lang w:val="en-GB" w:eastAsia="en-GB" w:bidi="en-GB"/>
      </w:rPr>
    </w:lvl>
    <w:lvl w:ilvl="5" w:tplc="D8469F26">
      <w:numFmt w:val="bullet"/>
      <w:lvlText w:val="•"/>
      <w:lvlJc w:val="left"/>
      <w:pPr>
        <w:ind w:left="6013" w:hanging="425"/>
      </w:pPr>
      <w:rPr>
        <w:rFonts w:hint="default"/>
        <w:lang w:val="en-GB" w:eastAsia="en-GB" w:bidi="en-GB"/>
      </w:rPr>
    </w:lvl>
    <w:lvl w:ilvl="6" w:tplc="FDFC7B46">
      <w:numFmt w:val="bullet"/>
      <w:lvlText w:val="•"/>
      <w:lvlJc w:val="left"/>
      <w:pPr>
        <w:ind w:left="6967" w:hanging="425"/>
      </w:pPr>
      <w:rPr>
        <w:rFonts w:hint="default"/>
        <w:lang w:val="en-GB" w:eastAsia="en-GB" w:bidi="en-GB"/>
      </w:rPr>
    </w:lvl>
    <w:lvl w:ilvl="7" w:tplc="97DE8EC8">
      <w:numFmt w:val="bullet"/>
      <w:lvlText w:val="•"/>
      <w:lvlJc w:val="left"/>
      <w:pPr>
        <w:ind w:left="7922" w:hanging="425"/>
      </w:pPr>
      <w:rPr>
        <w:rFonts w:hint="default"/>
        <w:lang w:val="en-GB" w:eastAsia="en-GB" w:bidi="en-GB"/>
      </w:rPr>
    </w:lvl>
    <w:lvl w:ilvl="8" w:tplc="34C00294">
      <w:numFmt w:val="bullet"/>
      <w:lvlText w:val="•"/>
      <w:lvlJc w:val="left"/>
      <w:pPr>
        <w:ind w:left="8877" w:hanging="425"/>
      </w:pPr>
      <w:rPr>
        <w:rFonts w:hint="default"/>
        <w:lang w:val="en-GB" w:eastAsia="en-GB" w:bidi="en-GB"/>
      </w:rPr>
    </w:lvl>
  </w:abstractNum>
  <w:abstractNum w:abstractNumId="9" w15:restartNumberingAfterBreak="0">
    <w:nsid w:val="40BA5A70"/>
    <w:multiLevelType w:val="hybridMultilevel"/>
    <w:tmpl w:val="79180CBC"/>
    <w:lvl w:ilvl="0" w:tplc="0809000F">
      <w:start w:val="1"/>
      <w:numFmt w:val="decimal"/>
      <w:lvlText w:val="%1."/>
      <w:lvlJc w:val="left"/>
      <w:pPr>
        <w:ind w:left="720" w:hanging="360"/>
      </w:pPr>
      <w:rPr>
        <w:rFonts w:hint="default"/>
      </w:rPr>
    </w:lvl>
    <w:lvl w:ilvl="1" w:tplc="FE56CF5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F866D1"/>
    <w:multiLevelType w:val="multilevel"/>
    <w:tmpl w:val="05EA5606"/>
    <w:lvl w:ilvl="0">
      <w:start w:val="3"/>
      <w:numFmt w:val="decimal"/>
      <w:lvlText w:val="%1."/>
      <w:lvlJc w:val="left"/>
      <w:pPr>
        <w:ind w:left="1134" w:hanging="709"/>
      </w:pPr>
      <w:rPr>
        <w:rFonts w:ascii="Arial" w:eastAsia="Century Gothic" w:hAnsi="Arial" w:cs="Arial" w:hint="default"/>
        <w:b/>
        <w:bCs/>
        <w:spacing w:val="0"/>
        <w:w w:val="100"/>
        <w:sz w:val="22"/>
        <w:szCs w:val="22"/>
        <w:lang w:val="en-GB" w:eastAsia="en-GB" w:bidi="en-GB"/>
      </w:rPr>
    </w:lvl>
    <w:lvl w:ilvl="1">
      <w:start w:val="1"/>
      <w:numFmt w:val="decimal"/>
      <w:lvlText w:val="%1.%2"/>
      <w:lvlJc w:val="left"/>
      <w:pPr>
        <w:ind w:left="1134" w:hanging="709"/>
      </w:pPr>
      <w:rPr>
        <w:rFonts w:hint="default"/>
        <w:spacing w:val="-2"/>
        <w:w w:val="100"/>
        <w:lang w:val="en-GB" w:eastAsia="en-GB" w:bidi="en-GB"/>
      </w:rPr>
    </w:lvl>
    <w:lvl w:ilvl="2">
      <w:numFmt w:val="bullet"/>
      <w:lvlText w:val="•"/>
      <w:lvlJc w:val="left"/>
      <w:pPr>
        <w:ind w:left="2259" w:hanging="709"/>
      </w:pPr>
      <w:rPr>
        <w:rFonts w:hint="default"/>
        <w:lang w:val="en-GB" w:eastAsia="en-GB" w:bidi="en-GB"/>
      </w:rPr>
    </w:lvl>
    <w:lvl w:ilvl="3">
      <w:numFmt w:val="bullet"/>
      <w:lvlText w:val="•"/>
      <w:lvlJc w:val="left"/>
      <w:pPr>
        <w:ind w:left="3364" w:hanging="709"/>
      </w:pPr>
      <w:rPr>
        <w:rFonts w:hint="default"/>
        <w:lang w:val="en-GB" w:eastAsia="en-GB" w:bidi="en-GB"/>
      </w:rPr>
    </w:lvl>
    <w:lvl w:ilvl="4">
      <w:numFmt w:val="bullet"/>
      <w:lvlText w:val="•"/>
      <w:lvlJc w:val="left"/>
      <w:pPr>
        <w:ind w:left="4469" w:hanging="709"/>
      </w:pPr>
      <w:rPr>
        <w:rFonts w:hint="default"/>
        <w:lang w:val="en-GB" w:eastAsia="en-GB" w:bidi="en-GB"/>
      </w:rPr>
    </w:lvl>
    <w:lvl w:ilvl="5">
      <w:numFmt w:val="bullet"/>
      <w:lvlText w:val="•"/>
      <w:lvlJc w:val="left"/>
      <w:pPr>
        <w:ind w:left="5574" w:hanging="709"/>
      </w:pPr>
      <w:rPr>
        <w:rFonts w:hint="default"/>
        <w:lang w:val="en-GB" w:eastAsia="en-GB" w:bidi="en-GB"/>
      </w:rPr>
    </w:lvl>
    <w:lvl w:ilvl="6">
      <w:numFmt w:val="bullet"/>
      <w:lvlText w:val="•"/>
      <w:lvlJc w:val="left"/>
      <w:pPr>
        <w:ind w:left="6679" w:hanging="709"/>
      </w:pPr>
      <w:rPr>
        <w:rFonts w:hint="default"/>
        <w:lang w:val="en-GB" w:eastAsia="en-GB" w:bidi="en-GB"/>
      </w:rPr>
    </w:lvl>
    <w:lvl w:ilvl="7">
      <w:numFmt w:val="bullet"/>
      <w:lvlText w:val="•"/>
      <w:lvlJc w:val="left"/>
      <w:pPr>
        <w:ind w:left="7784" w:hanging="709"/>
      </w:pPr>
      <w:rPr>
        <w:rFonts w:hint="default"/>
        <w:lang w:val="en-GB" w:eastAsia="en-GB" w:bidi="en-GB"/>
      </w:rPr>
    </w:lvl>
    <w:lvl w:ilvl="8">
      <w:numFmt w:val="bullet"/>
      <w:lvlText w:val="•"/>
      <w:lvlJc w:val="left"/>
      <w:pPr>
        <w:ind w:left="8890" w:hanging="709"/>
      </w:pPr>
      <w:rPr>
        <w:rFonts w:hint="default"/>
        <w:lang w:val="en-GB" w:eastAsia="en-GB" w:bidi="en-GB"/>
      </w:rPr>
    </w:lvl>
  </w:abstractNum>
  <w:abstractNum w:abstractNumId="11" w15:restartNumberingAfterBreak="0">
    <w:nsid w:val="55B55554"/>
    <w:multiLevelType w:val="multilevel"/>
    <w:tmpl w:val="05EA5606"/>
    <w:lvl w:ilvl="0">
      <w:start w:val="3"/>
      <w:numFmt w:val="decimal"/>
      <w:lvlText w:val="%1."/>
      <w:lvlJc w:val="left"/>
      <w:pPr>
        <w:ind w:left="1134" w:hanging="709"/>
      </w:pPr>
      <w:rPr>
        <w:rFonts w:ascii="Arial" w:eastAsia="Century Gothic" w:hAnsi="Arial" w:cs="Arial" w:hint="default"/>
        <w:b/>
        <w:bCs/>
        <w:spacing w:val="0"/>
        <w:w w:val="100"/>
        <w:sz w:val="22"/>
        <w:szCs w:val="22"/>
        <w:lang w:val="en-GB" w:eastAsia="en-GB" w:bidi="en-GB"/>
      </w:rPr>
    </w:lvl>
    <w:lvl w:ilvl="1">
      <w:start w:val="1"/>
      <w:numFmt w:val="decimal"/>
      <w:lvlText w:val="%1.%2"/>
      <w:lvlJc w:val="left"/>
      <w:pPr>
        <w:ind w:left="851" w:hanging="709"/>
      </w:pPr>
      <w:rPr>
        <w:rFonts w:hint="default"/>
        <w:spacing w:val="-2"/>
        <w:w w:val="100"/>
        <w:lang w:val="en-GB" w:eastAsia="en-GB" w:bidi="en-GB"/>
      </w:rPr>
    </w:lvl>
    <w:lvl w:ilvl="2">
      <w:numFmt w:val="bullet"/>
      <w:lvlText w:val="•"/>
      <w:lvlJc w:val="left"/>
      <w:pPr>
        <w:ind w:left="2259" w:hanging="709"/>
      </w:pPr>
      <w:rPr>
        <w:rFonts w:hint="default"/>
        <w:lang w:val="en-GB" w:eastAsia="en-GB" w:bidi="en-GB"/>
      </w:rPr>
    </w:lvl>
    <w:lvl w:ilvl="3">
      <w:numFmt w:val="bullet"/>
      <w:lvlText w:val="•"/>
      <w:lvlJc w:val="left"/>
      <w:pPr>
        <w:ind w:left="3364" w:hanging="709"/>
      </w:pPr>
      <w:rPr>
        <w:rFonts w:hint="default"/>
        <w:lang w:val="en-GB" w:eastAsia="en-GB" w:bidi="en-GB"/>
      </w:rPr>
    </w:lvl>
    <w:lvl w:ilvl="4">
      <w:numFmt w:val="bullet"/>
      <w:lvlText w:val="•"/>
      <w:lvlJc w:val="left"/>
      <w:pPr>
        <w:ind w:left="4469" w:hanging="709"/>
      </w:pPr>
      <w:rPr>
        <w:rFonts w:hint="default"/>
        <w:lang w:val="en-GB" w:eastAsia="en-GB" w:bidi="en-GB"/>
      </w:rPr>
    </w:lvl>
    <w:lvl w:ilvl="5">
      <w:numFmt w:val="bullet"/>
      <w:lvlText w:val="•"/>
      <w:lvlJc w:val="left"/>
      <w:pPr>
        <w:ind w:left="5574" w:hanging="709"/>
      </w:pPr>
      <w:rPr>
        <w:rFonts w:hint="default"/>
        <w:lang w:val="en-GB" w:eastAsia="en-GB" w:bidi="en-GB"/>
      </w:rPr>
    </w:lvl>
    <w:lvl w:ilvl="6">
      <w:numFmt w:val="bullet"/>
      <w:lvlText w:val="•"/>
      <w:lvlJc w:val="left"/>
      <w:pPr>
        <w:ind w:left="6679" w:hanging="709"/>
      </w:pPr>
      <w:rPr>
        <w:rFonts w:hint="default"/>
        <w:lang w:val="en-GB" w:eastAsia="en-GB" w:bidi="en-GB"/>
      </w:rPr>
    </w:lvl>
    <w:lvl w:ilvl="7">
      <w:numFmt w:val="bullet"/>
      <w:lvlText w:val="•"/>
      <w:lvlJc w:val="left"/>
      <w:pPr>
        <w:ind w:left="7784" w:hanging="709"/>
      </w:pPr>
      <w:rPr>
        <w:rFonts w:hint="default"/>
        <w:lang w:val="en-GB" w:eastAsia="en-GB" w:bidi="en-GB"/>
      </w:rPr>
    </w:lvl>
    <w:lvl w:ilvl="8">
      <w:numFmt w:val="bullet"/>
      <w:lvlText w:val="•"/>
      <w:lvlJc w:val="left"/>
      <w:pPr>
        <w:ind w:left="8890" w:hanging="709"/>
      </w:pPr>
      <w:rPr>
        <w:rFonts w:hint="default"/>
        <w:lang w:val="en-GB" w:eastAsia="en-GB" w:bidi="en-GB"/>
      </w:rPr>
    </w:lvl>
  </w:abstractNum>
  <w:abstractNum w:abstractNumId="12" w15:restartNumberingAfterBreak="0">
    <w:nsid w:val="587725FF"/>
    <w:multiLevelType w:val="multilevel"/>
    <w:tmpl w:val="FCAAD256"/>
    <w:lvl w:ilvl="0">
      <w:start w:val="1"/>
      <w:numFmt w:val="decimal"/>
      <w:lvlText w:val="%1"/>
      <w:lvlJc w:val="left"/>
      <w:pPr>
        <w:ind w:left="1134" w:hanging="709"/>
      </w:pPr>
      <w:rPr>
        <w:rFonts w:ascii="Arial" w:eastAsia="Century Gothic" w:hAnsi="Arial" w:cs="Arial" w:hint="default"/>
        <w:b/>
        <w:bCs/>
        <w:w w:val="100"/>
        <w:sz w:val="22"/>
        <w:szCs w:val="22"/>
        <w:lang w:val="en-GB" w:eastAsia="en-GB" w:bidi="en-GB"/>
      </w:rPr>
    </w:lvl>
    <w:lvl w:ilvl="1">
      <w:start w:val="1"/>
      <w:numFmt w:val="decimal"/>
      <w:lvlText w:val="%1.%2"/>
      <w:lvlJc w:val="left"/>
      <w:pPr>
        <w:ind w:left="993" w:hanging="709"/>
      </w:pPr>
      <w:rPr>
        <w:rFonts w:hint="default"/>
        <w:b w:val="0"/>
        <w:bCs w:val="0"/>
        <w:spacing w:val="-2"/>
        <w:w w:val="100"/>
        <w:lang w:val="en-GB" w:eastAsia="en-GB" w:bidi="en-GB"/>
      </w:rPr>
    </w:lvl>
    <w:lvl w:ilvl="2">
      <w:numFmt w:val="bullet"/>
      <w:lvlText w:val=""/>
      <w:lvlJc w:val="left"/>
      <w:pPr>
        <w:ind w:left="2420" w:hanging="360"/>
      </w:pPr>
      <w:rPr>
        <w:rFonts w:ascii="Symbol" w:eastAsia="Symbol" w:hAnsi="Symbol" w:cs="Symbol" w:hint="default"/>
        <w:w w:val="100"/>
        <w:sz w:val="22"/>
        <w:szCs w:val="22"/>
        <w:lang w:val="en-GB" w:eastAsia="en-GB" w:bidi="en-GB"/>
      </w:rPr>
    </w:lvl>
    <w:lvl w:ilvl="3">
      <w:numFmt w:val="bullet"/>
      <w:lvlText w:val="•"/>
      <w:lvlJc w:val="left"/>
      <w:pPr>
        <w:ind w:left="3499" w:hanging="360"/>
      </w:pPr>
      <w:rPr>
        <w:rFonts w:hint="default"/>
        <w:lang w:val="en-GB" w:eastAsia="en-GB" w:bidi="en-GB"/>
      </w:rPr>
    </w:lvl>
    <w:lvl w:ilvl="4">
      <w:numFmt w:val="bullet"/>
      <w:lvlText w:val="•"/>
      <w:lvlJc w:val="left"/>
      <w:pPr>
        <w:ind w:left="4585" w:hanging="360"/>
      </w:pPr>
      <w:rPr>
        <w:rFonts w:hint="default"/>
        <w:lang w:val="en-GB" w:eastAsia="en-GB" w:bidi="en-GB"/>
      </w:rPr>
    </w:lvl>
    <w:lvl w:ilvl="5">
      <w:numFmt w:val="bullet"/>
      <w:lvlText w:val="•"/>
      <w:lvlJc w:val="left"/>
      <w:pPr>
        <w:ind w:left="5671" w:hanging="360"/>
      </w:pPr>
      <w:rPr>
        <w:rFonts w:hint="default"/>
        <w:lang w:val="en-GB" w:eastAsia="en-GB" w:bidi="en-GB"/>
      </w:rPr>
    </w:lvl>
    <w:lvl w:ilvl="6">
      <w:numFmt w:val="bullet"/>
      <w:lvlText w:val="•"/>
      <w:lvlJc w:val="left"/>
      <w:pPr>
        <w:ind w:left="6757" w:hanging="360"/>
      </w:pPr>
      <w:rPr>
        <w:rFonts w:hint="default"/>
        <w:lang w:val="en-GB" w:eastAsia="en-GB" w:bidi="en-GB"/>
      </w:rPr>
    </w:lvl>
    <w:lvl w:ilvl="7">
      <w:numFmt w:val="bullet"/>
      <w:lvlText w:val="•"/>
      <w:lvlJc w:val="left"/>
      <w:pPr>
        <w:ind w:left="7843" w:hanging="360"/>
      </w:pPr>
      <w:rPr>
        <w:rFonts w:hint="default"/>
        <w:lang w:val="en-GB" w:eastAsia="en-GB" w:bidi="en-GB"/>
      </w:rPr>
    </w:lvl>
    <w:lvl w:ilvl="8">
      <w:numFmt w:val="bullet"/>
      <w:lvlText w:val="•"/>
      <w:lvlJc w:val="left"/>
      <w:pPr>
        <w:ind w:left="8928" w:hanging="360"/>
      </w:pPr>
      <w:rPr>
        <w:rFonts w:hint="default"/>
        <w:lang w:val="en-GB" w:eastAsia="en-GB" w:bidi="en-GB"/>
      </w:rPr>
    </w:lvl>
  </w:abstractNum>
  <w:abstractNum w:abstractNumId="13" w15:restartNumberingAfterBreak="0">
    <w:nsid w:val="6FC35D24"/>
    <w:multiLevelType w:val="multilevel"/>
    <w:tmpl w:val="9AC042DC"/>
    <w:lvl w:ilvl="0">
      <w:start w:val="13"/>
      <w:numFmt w:val="decimal"/>
      <w:lvlText w:val="%1."/>
      <w:lvlJc w:val="left"/>
      <w:pPr>
        <w:ind w:left="567" w:hanging="428"/>
      </w:pPr>
      <w:rPr>
        <w:rFonts w:ascii="Century Gothic" w:eastAsia="Century Gothic" w:hAnsi="Century Gothic" w:cs="Century Gothic" w:hint="default"/>
        <w:b/>
        <w:bCs/>
        <w:spacing w:val="0"/>
        <w:w w:val="100"/>
        <w:sz w:val="22"/>
        <w:szCs w:val="22"/>
        <w:lang w:val="en-GB" w:eastAsia="en-GB" w:bidi="en-GB"/>
      </w:rPr>
    </w:lvl>
    <w:lvl w:ilvl="1">
      <w:start w:val="1"/>
      <w:numFmt w:val="decimal"/>
      <w:lvlText w:val="%1.%2"/>
      <w:lvlJc w:val="left"/>
      <w:pPr>
        <w:ind w:left="567" w:hanging="413"/>
      </w:pPr>
      <w:rPr>
        <w:rFonts w:ascii="Century Gothic" w:eastAsia="Century Gothic" w:hAnsi="Century Gothic" w:cs="Century Gothic" w:hint="default"/>
        <w:spacing w:val="-2"/>
        <w:w w:val="100"/>
        <w:sz w:val="22"/>
        <w:szCs w:val="22"/>
        <w:lang w:val="en-GB" w:eastAsia="en-GB" w:bidi="en-GB"/>
      </w:rPr>
    </w:lvl>
    <w:lvl w:ilvl="2">
      <w:numFmt w:val="bullet"/>
      <w:lvlText w:val="•"/>
      <w:lvlJc w:val="left"/>
      <w:pPr>
        <w:ind w:left="1784" w:hanging="413"/>
      </w:pPr>
      <w:rPr>
        <w:rFonts w:hint="default"/>
        <w:lang w:val="en-GB" w:eastAsia="en-GB" w:bidi="en-GB"/>
      </w:rPr>
    </w:lvl>
    <w:lvl w:ilvl="3">
      <w:numFmt w:val="bullet"/>
      <w:lvlText w:val="•"/>
      <w:lvlJc w:val="left"/>
      <w:pPr>
        <w:ind w:left="2868" w:hanging="413"/>
      </w:pPr>
      <w:rPr>
        <w:rFonts w:hint="default"/>
        <w:lang w:val="en-GB" w:eastAsia="en-GB" w:bidi="en-GB"/>
      </w:rPr>
    </w:lvl>
    <w:lvl w:ilvl="4">
      <w:numFmt w:val="bullet"/>
      <w:lvlText w:val="•"/>
      <w:lvlJc w:val="left"/>
      <w:pPr>
        <w:ind w:left="3953" w:hanging="413"/>
      </w:pPr>
      <w:rPr>
        <w:rFonts w:hint="default"/>
        <w:lang w:val="en-GB" w:eastAsia="en-GB" w:bidi="en-GB"/>
      </w:rPr>
    </w:lvl>
    <w:lvl w:ilvl="5">
      <w:numFmt w:val="bullet"/>
      <w:lvlText w:val="•"/>
      <w:lvlJc w:val="left"/>
      <w:pPr>
        <w:ind w:left="5037" w:hanging="413"/>
      </w:pPr>
      <w:rPr>
        <w:rFonts w:hint="default"/>
        <w:lang w:val="en-GB" w:eastAsia="en-GB" w:bidi="en-GB"/>
      </w:rPr>
    </w:lvl>
    <w:lvl w:ilvl="6">
      <w:numFmt w:val="bullet"/>
      <w:lvlText w:val="•"/>
      <w:lvlJc w:val="left"/>
      <w:pPr>
        <w:ind w:left="6122" w:hanging="413"/>
      </w:pPr>
      <w:rPr>
        <w:rFonts w:hint="default"/>
        <w:lang w:val="en-GB" w:eastAsia="en-GB" w:bidi="en-GB"/>
      </w:rPr>
    </w:lvl>
    <w:lvl w:ilvl="7">
      <w:numFmt w:val="bullet"/>
      <w:lvlText w:val="•"/>
      <w:lvlJc w:val="left"/>
      <w:pPr>
        <w:ind w:left="7206" w:hanging="413"/>
      </w:pPr>
      <w:rPr>
        <w:rFonts w:hint="default"/>
        <w:lang w:val="en-GB" w:eastAsia="en-GB" w:bidi="en-GB"/>
      </w:rPr>
    </w:lvl>
    <w:lvl w:ilvl="8">
      <w:numFmt w:val="bullet"/>
      <w:lvlText w:val="•"/>
      <w:lvlJc w:val="left"/>
      <w:pPr>
        <w:ind w:left="8291" w:hanging="413"/>
      </w:pPr>
      <w:rPr>
        <w:rFonts w:hint="default"/>
        <w:lang w:val="en-GB" w:eastAsia="en-GB" w:bidi="en-GB"/>
      </w:rPr>
    </w:lvl>
  </w:abstractNum>
  <w:num w:numId="1" w16cid:durableId="1146896259">
    <w:abstractNumId w:val="5"/>
  </w:num>
  <w:num w:numId="2" w16cid:durableId="771440935">
    <w:abstractNumId w:val="11"/>
  </w:num>
  <w:num w:numId="3" w16cid:durableId="401684032">
    <w:abstractNumId w:val="12"/>
  </w:num>
  <w:num w:numId="4" w16cid:durableId="438333725">
    <w:abstractNumId w:val="8"/>
  </w:num>
  <w:num w:numId="5" w16cid:durableId="1065689346">
    <w:abstractNumId w:val="13"/>
  </w:num>
  <w:num w:numId="6" w16cid:durableId="1328557849">
    <w:abstractNumId w:val="4"/>
  </w:num>
  <w:num w:numId="7" w16cid:durableId="1405101208">
    <w:abstractNumId w:val="1"/>
  </w:num>
  <w:num w:numId="8" w16cid:durableId="1270430097">
    <w:abstractNumId w:val="10"/>
  </w:num>
  <w:num w:numId="9" w16cid:durableId="1780181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9733808">
    <w:abstractNumId w:val="9"/>
  </w:num>
  <w:num w:numId="11" w16cid:durableId="978068308">
    <w:abstractNumId w:val="2"/>
  </w:num>
  <w:num w:numId="12" w16cid:durableId="752556028">
    <w:abstractNumId w:val="7"/>
    <w:lvlOverride w:ilvl="0">
      <w:startOverride w:val="5"/>
    </w:lvlOverride>
  </w:num>
  <w:num w:numId="13" w16cid:durableId="1699815680">
    <w:abstractNumId w:val="7"/>
  </w:num>
  <w:num w:numId="14" w16cid:durableId="303781048">
    <w:abstractNumId w:val="3"/>
  </w:num>
  <w:num w:numId="15" w16cid:durableId="2015244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00"/>
    <w:rsid w:val="0000784E"/>
    <w:rsid w:val="00011A6D"/>
    <w:rsid w:val="00026D2C"/>
    <w:rsid w:val="00030000"/>
    <w:rsid w:val="0003357D"/>
    <w:rsid w:val="00035D72"/>
    <w:rsid w:val="0004176A"/>
    <w:rsid w:val="00055A49"/>
    <w:rsid w:val="000625AC"/>
    <w:rsid w:val="00070076"/>
    <w:rsid w:val="00074D45"/>
    <w:rsid w:val="0008116F"/>
    <w:rsid w:val="00084E11"/>
    <w:rsid w:val="000B28A5"/>
    <w:rsid w:val="000C40EC"/>
    <w:rsid w:val="000E37BE"/>
    <w:rsid w:val="000F15DC"/>
    <w:rsid w:val="00110A74"/>
    <w:rsid w:val="00111B5D"/>
    <w:rsid w:val="00114978"/>
    <w:rsid w:val="001603DE"/>
    <w:rsid w:val="0016148D"/>
    <w:rsid w:val="001658C3"/>
    <w:rsid w:val="00175DA7"/>
    <w:rsid w:val="00181119"/>
    <w:rsid w:val="00194D48"/>
    <w:rsid w:val="001A0A0E"/>
    <w:rsid w:val="001B025E"/>
    <w:rsid w:val="001B7C40"/>
    <w:rsid w:val="001C011B"/>
    <w:rsid w:val="001C1240"/>
    <w:rsid w:val="001D0DC3"/>
    <w:rsid w:val="001D513E"/>
    <w:rsid w:val="001E0531"/>
    <w:rsid w:val="001E129D"/>
    <w:rsid w:val="001F65E9"/>
    <w:rsid w:val="00200A59"/>
    <w:rsid w:val="002036D8"/>
    <w:rsid w:val="00210575"/>
    <w:rsid w:val="002145BD"/>
    <w:rsid w:val="0023004E"/>
    <w:rsid w:val="002331AF"/>
    <w:rsid w:val="00247A75"/>
    <w:rsid w:val="002544EF"/>
    <w:rsid w:val="0027152D"/>
    <w:rsid w:val="0028311A"/>
    <w:rsid w:val="002C45E2"/>
    <w:rsid w:val="002D4DDA"/>
    <w:rsid w:val="002E05B4"/>
    <w:rsid w:val="00326679"/>
    <w:rsid w:val="00334C2A"/>
    <w:rsid w:val="00341FF1"/>
    <w:rsid w:val="003B47EC"/>
    <w:rsid w:val="003B4DF6"/>
    <w:rsid w:val="003D7263"/>
    <w:rsid w:val="003E3D9C"/>
    <w:rsid w:val="003F0A24"/>
    <w:rsid w:val="003F6447"/>
    <w:rsid w:val="0040007F"/>
    <w:rsid w:val="004016E4"/>
    <w:rsid w:val="00405779"/>
    <w:rsid w:val="00424E46"/>
    <w:rsid w:val="00434199"/>
    <w:rsid w:val="004423EF"/>
    <w:rsid w:val="004559F5"/>
    <w:rsid w:val="0049334C"/>
    <w:rsid w:val="004B2216"/>
    <w:rsid w:val="004B5BE2"/>
    <w:rsid w:val="004C2871"/>
    <w:rsid w:val="004C3FCB"/>
    <w:rsid w:val="004D05C6"/>
    <w:rsid w:val="004D7B31"/>
    <w:rsid w:val="00507835"/>
    <w:rsid w:val="005170DA"/>
    <w:rsid w:val="00520BFC"/>
    <w:rsid w:val="00521C37"/>
    <w:rsid w:val="005618B8"/>
    <w:rsid w:val="00562499"/>
    <w:rsid w:val="005656AF"/>
    <w:rsid w:val="00581FEC"/>
    <w:rsid w:val="00582EBE"/>
    <w:rsid w:val="005930DA"/>
    <w:rsid w:val="005B1944"/>
    <w:rsid w:val="005B6661"/>
    <w:rsid w:val="005E6F28"/>
    <w:rsid w:val="005F01E6"/>
    <w:rsid w:val="00600E61"/>
    <w:rsid w:val="006013FA"/>
    <w:rsid w:val="00605A8E"/>
    <w:rsid w:val="0061219B"/>
    <w:rsid w:val="00626A2E"/>
    <w:rsid w:val="00646E84"/>
    <w:rsid w:val="00652017"/>
    <w:rsid w:val="00653AF0"/>
    <w:rsid w:val="00662B3F"/>
    <w:rsid w:val="00667E48"/>
    <w:rsid w:val="0067080E"/>
    <w:rsid w:val="0068344F"/>
    <w:rsid w:val="006955A5"/>
    <w:rsid w:val="006D5A93"/>
    <w:rsid w:val="006F0D78"/>
    <w:rsid w:val="006F370F"/>
    <w:rsid w:val="006F37D0"/>
    <w:rsid w:val="0070441B"/>
    <w:rsid w:val="00706E6B"/>
    <w:rsid w:val="0071329F"/>
    <w:rsid w:val="00720486"/>
    <w:rsid w:val="007446CA"/>
    <w:rsid w:val="00750B0D"/>
    <w:rsid w:val="00751964"/>
    <w:rsid w:val="00751AD5"/>
    <w:rsid w:val="00752090"/>
    <w:rsid w:val="00753309"/>
    <w:rsid w:val="007542EC"/>
    <w:rsid w:val="00775F49"/>
    <w:rsid w:val="0078577A"/>
    <w:rsid w:val="007870DB"/>
    <w:rsid w:val="00794440"/>
    <w:rsid w:val="007956C0"/>
    <w:rsid w:val="007A4308"/>
    <w:rsid w:val="007C30A1"/>
    <w:rsid w:val="007D0AEB"/>
    <w:rsid w:val="007D3F1F"/>
    <w:rsid w:val="007E6A7F"/>
    <w:rsid w:val="00816B2A"/>
    <w:rsid w:val="00830D9F"/>
    <w:rsid w:val="00862D2B"/>
    <w:rsid w:val="008734F6"/>
    <w:rsid w:val="008B1631"/>
    <w:rsid w:val="008C0D93"/>
    <w:rsid w:val="008D598C"/>
    <w:rsid w:val="008E667D"/>
    <w:rsid w:val="00902B28"/>
    <w:rsid w:val="00907810"/>
    <w:rsid w:val="00921CBD"/>
    <w:rsid w:val="0092564E"/>
    <w:rsid w:val="00935551"/>
    <w:rsid w:val="00941F04"/>
    <w:rsid w:val="00946B2C"/>
    <w:rsid w:val="00952B6C"/>
    <w:rsid w:val="009565AE"/>
    <w:rsid w:val="00957AF6"/>
    <w:rsid w:val="00962076"/>
    <w:rsid w:val="00965DEA"/>
    <w:rsid w:val="00980DEB"/>
    <w:rsid w:val="00985E76"/>
    <w:rsid w:val="00992F9E"/>
    <w:rsid w:val="009A6C4C"/>
    <w:rsid w:val="009D6EB2"/>
    <w:rsid w:val="009E491A"/>
    <w:rsid w:val="009F015B"/>
    <w:rsid w:val="009F0FCA"/>
    <w:rsid w:val="009F2106"/>
    <w:rsid w:val="00A02938"/>
    <w:rsid w:val="00A04163"/>
    <w:rsid w:val="00A125C2"/>
    <w:rsid w:val="00A3520F"/>
    <w:rsid w:val="00A508CB"/>
    <w:rsid w:val="00A514B5"/>
    <w:rsid w:val="00A66100"/>
    <w:rsid w:val="00A71C5F"/>
    <w:rsid w:val="00A81EE4"/>
    <w:rsid w:val="00A877B0"/>
    <w:rsid w:val="00A90757"/>
    <w:rsid w:val="00AA098C"/>
    <w:rsid w:val="00AC57B3"/>
    <w:rsid w:val="00AC790F"/>
    <w:rsid w:val="00AD6075"/>
    <w:rsid w:val="00AD6146"/>
    <w:rsid w:val="00AD7202"/>
    <w:rsid w:val="00AF27DC"/>
    <w:rsid w:val="00B02363"/>
    <w:rsid w:val="00B04695"/>
    <w:rsid w:val="00B117F7"/>
    <w:rsid w:val="00B15A4A"/>
    <w:rsid w:val="00B15F19"/>
    <w:rsid w:val="00B23DED"/>
    <w:rsid w:val="00B25CC2"/>
    <w:rsid w:val="00B32CF9"/>
    <w:rsid w:val="00B41E76"/>
    <w:rsid w:val="00B436C0"/>
    <w:rsid w:val="00B4554F"/>
    <w:rsid w:val="00B97A36"/>
    <w:rsid w:val="00BA6EF1"/>
    <w:rsid w:val="00BA7898"/>
    <w:rsid w:val="00BC5994"/>
    <w:rsid w:val="00BE47C8"/>
    <w:rsid w:val="00BF3296"/>
    <w:rsid w:val="00C0526D"/>
    <w:rsid w:val="00C12DEC"/>
    <w:rsid w:val="00C22CB0"/>
    <w:rsid w:val="00C25427"/>
    <w:rsid w:val="00C26FD2"/>
    <w:rsid w:val="00C31C40"/>
    <w:rsid w:val="00C32C46"/>
    <w:rsid w:val="00C36495"/>
    <w:rsid w:val="00C45069"/>
    <w:rsid w:val="00C455A6"/>
    <w:rsid w:val="00C565C7"/>
    <w:rsid w:val="00C573AD"/>
    <w:rsid w:val="00C675AE"/>
    <w:rsid w:val="00C708A7"/>
    <w:rsid w:val="00C70EB7"/>
    <w:rsid w:val="00C71C62"/>
    <w:rsid w:val="00CA17BE"/>
    <w:rsid w:val="00CA26CA"/>
    <w:rsid w:val="00CB0237"/>
    <w:rsid w:val="00CB5619"/>
    <w:rsid w:val="00CC18C5"/>
    <w:rsid w:val="00CC574A"/>
    <w:rsid w:val="00CD3D27"/>
    <w:rsid w:val="00CD551F"/>
    <w:rsid w:val="00CD6F62"/>
    <w:rsid w:val="00CE7ED9"/>
    <w:rsid w:val="00D00EDA"/>
    <w:rsid w:val="00D10756"/>
    <w:rsid w:val="00D11EE7"/>
    <w:rsid w:val="00D14E67"/>
    <w:rsid w:val="00D20D51"/>
    <w:rsid w:val="00D244BF"/>
    <w:rsid w:val="00D3724E"/>
    <w:rsid w:val="00D414B1"/>
    <w:rsid w:val="00D44DED"/>
    <w:rsid w:val="00D505F8"/>
    <w:rsid w:val="00D73117"/>
    <w:rsid w:val="00D83A0F"/>
    <w:rsid w:val="00D90F40"/>
    <w:rsid w:val="00D91837"/>
    <w:rsid w:val="00D96EE0"/>
    <w:rsid w:val="00DB147F"/>
    <w:rsid w:val="00DB45DA"/>
    <w:rsid w:val="00DC1CD8"/>
    <w:rsid w:val="00DE34CE"/>
    <w:rsid w:val="00DF46AE"/>
    <w:rsid w:val="00DF4A9F"/>
    <w:rsid w:val="00E060B6"/>
    <w:rsid w:val="00E25EB2"/>
    <w:rsid w:val="00E276C4"/>
    <w:rsid w:val="00E67151"/>
    <w:rsid w:val="00E80026"/>
    <w:rsid w:val="00EC1F6F"/>
    <w:rsid w:val="00EE30FA"/>
    <w:rsid w:val="00EE661F"/>
    <w:rsid w:val="00EF5A22"/>
    <w:rsid w:val="00F10200"/>
    <w:rsid w:val="00F122D8"/>
    <w:rsid w:val="00F140D1"/>
    <w:rsid w:val="00F20437"/>
    <w:rsid w:val="00F21333"/>
    <w:rsid w:val="00F2570A"/>
    <w:rsid w:val="00F25F8F"/>
    <w:rsid w:val="00F6610A"/>
    <w:rsid w:val="00F664A5"/>
    <w:rsid w:val="00F70729"/>
    <w:rsid w:val="00F92862"/>
    <w:rsid w:val="00FC332B"/>
    <w:rsid w:val="00FC4752"/>
    <w:rsid w:val="00FC7020"/>
    <w:rsid w:val="00FC74A8"/>
    <w:rsid w:val="00FF33DF"/>
    <w:rsid w:val="00FF53C0"/>
    <w:rsid w:val="00FF74C5"/>
    <w:rsid w:val="5CF6A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41DEC"/>
  <w15:docId w15:val="{2EDB0113-DC79-497D-A8DB-CB0E19C4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n-GB" w:eastAsia="en-GB" w:bidi="en-GB"/>
    </w:rPr>
  </w:style>
  <w:style w:type="paragraph" w:styleId="Heading1">
    <w:name w:val="heading 1"/>
    <w:basedOn w:val="Normal"/>
    <w:uiPriority w:val="9"/>
    <w:qFormat/>
    <w:pPr>
      <w:ind w:left="820" w:hanging="70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Numbered list"/>
    <w:basedOn w:val="Normal"/>
    <w:uiPriority w:val="34"/>
    <w:qFormat/>
    <w:pPr>
      <w:ind w:left="820" w:hanging="709"/>
    </w:pPr>
  </w:style>
  <w:style w:type="paragraph" w:customStyle="1" w:styleId="TableParagraph">
    <w:name w:val="Table Paragraph"/>
    <w:basedOn w:val="Normal"/>
    <w:uiPriority w:val="1"/>
    <w:qFormat/>
    <w:pPr>
      <w:spacing w:before="1"/>
    </w:pPr>
  </w:style>
  <w:style w:type="paragraph" w:styleId="BalloonText">
    <w:name w:val="Balloon Text"/>
    <w:basedOn w:val="Normal"/>
    <w:link w:val="BalloonTextChar"/>
    <w:uiPriority w:val="99"/>
    <w:semiHidden/>
    <w:unhideWhenUsed/>
    <w:rsid w:val="00941F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F04"/>
    <w:rPr>
      <w:rFonts w:ascii="Segoe UI" w:eastAsia="Century Gothic" w:hAnsi="Segoe UI" w:cs="Segoe UI"/>
      <w:sz w:val="18"/>
      <w:szCs w:val="18"/>
      <w:lang w:val="en-GB" w:eastAsia="en-GB" w:bidi="en-GB"/>
    </w:rPr>
  </w:style>
  <w:style w:type="paragraph" w:styleId="Header">
    <w:name w:val="header"/>
    <w:basedOn w:val="Normal"/>
    <w:link w:val="HeaderChar"/>
    <w:uiPriority w:val="99"/>
    <w:unhideWhenUsed/>
    <w:rsid w:val="00941F04"/>
    <w:pPr>
      <w:tabs>
        <w:tab w:val="center" w:pos="4513"/>
        <w:tab w:val="right" w:pos="9026"/>
      </w:tabs>
    </w:pPr>
  </w:style>
  <w:style w:type="character" w:customStyle="1" w:styleId="HeaderChar">
    <w:name w:val="Header Char"/>
    <w:basedOn w:val="DefaultParagraphFont"/>
    <w:link w:val="Header"/>
    <w:uiPriority w:val="99"/>
    <w:rsid w:val="00941F04"/>
    <w:rPr>
      <w:rFonts w:ascii="Century Gothic" w:eastAsia="Century Gothic" w:hAnsi="Century Gothic" w:cs="Century Gothic"/>
      <w:lang w:val="en-GB" w:eastAsia="en-GB" w:bidi="en-GB"/>
    </w:rPr>
  </w:style>
  <w:style w:type="paragraph" w:styleId="Footer">
    <w:name w:val="footer"/>
    <w:basedOn w:val="Normal"/>
    <w:link w:val="FooterChar"/>
    <w:uiPriority w:val="99"/>
    <w:unhideWhenUsed/>
    <w:rsid w:val="00941F04"/>
    <w:pPr>
      <w:tabs>
        <w:tab w:val="center" w:pos="4513"/>
        <w:tab w:val="right" w:pos="9026"/>
      </w:tabs>
    </w:pPr>
  </w:style>
  <w:style w:type="character" w:customStyle="1" w:styleId="FooterChar">
    <w:name w:val="Footer Char"/>
    <w:basedOn w:val="DefaultParagraphFont"/>
    <w:link w:val="Footer"/>
    <w:uiPriority w:val="99"/>
    <w:rsid w:val="00941F04"/>
    <w:rPr>
      <w:rFonts w:ascii="Century Gothic" w:eastAsia="Century Gothic" w:hAnsi="Century Gothic" w:cs="Century Gothic"/>
      <w:lang w:val="en-GB" w:eastAsia="en-GB" w:bidi="en-GB"/>
    </w:rPr>
  </w:style>
  <w:style w:type="character" w:customStyle="1" w:styleId="BodyTextChar">
    <w:name w:val="Body Text Char"/>
    <w:basedOn w:val="DefaultParagraphFont"/>
    <w:link w:val="BodyText"/>
    <w:uiPriority w:val="1"/>
    <w:rsid w:val="00E060B6"/>
    <w:rPr>
      <w:rFonts w:ascii="Century Gothic" w:eastAsia="Century Gothic" w:hAnsi="Century Gothic" w:cs="Century Gothic"/>
      <w:lang w:val="en-GB" w:eastAsia="en-GB" w:bidi="en-GB"/>
    </w:rPr>
  </w:style>
  <w:style w:type="character" w:styleId="CommentReference">
    <w:name w:val="annotation reference"/>
    <w:basedOn w:val="DefaultParagraphFont"/>
    <w:uiPriority w:val="99"/>
    <w:semiHidden/>
    <w:unhideWhenUsed/>
    <w:rsid w:val="005F01E6"/>
    <w:rPr>
      <w:sz w:val="16"/>
      <w:szCs w:val="16"/>
    </w:rPr>
  </w:style>
  <w:style w:type="paragraph" w:styleId="CommentText">
    <w:name w:val="annotation text"/>
    <w:basedOn w:val="Normal"/>
    <w:link w:val="CommentTextChar"/>
    <w:uiPriority w:val="99"/>
    <w:unhideWhenUsed/>
    <w:rsid w:val="005F01E6"/>
    <w:rPr>
      <w:sz w:val="20"/>
      <w:szCs w:val="20"/>
    </w:rPr>
  </w:style>
  <w:style w:type="character" w:customStyle="1" w:styleId="CommentTextChar">
    <w:name w:val="Comment Text Char"/>
    <w:basedOn w:val="DefaultParagraphFont"/>
    <w:link w:val="CommentText"/>
    <w:uiPriority w:val="99"/>
    <w:rsid w:val="005F01E6"/>
    <w:rPr>
      <w:rFonts w:ascii="Century Gothic" w:eastAsia="Century Gothic" w:hAnsi="Century Gothic" w:cs="Century Gothic"/>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5F01E6"/>
    <w:rPr>
      <w:b/>
      <w:bCs/>
    </w:rPr>
  </w:style>
  <w:style w:type="character" w:customStyle="1" w:styleId="CommentSubjectChar">
    <w:name w:val="Comment Subject Char"/>
    <w:basedOn w:val="CommentTextChar"/>
    <w:link w:val="CommentSubject"/>
    <w:uiPriority w:val="99"/>
    <w:semiHidden/>
    <w:rsid w:val="005F01E6"/>
    <w:rPr>
      <w:rFonts w:ascii="Century Gothic" w:eastAsia="Century Gothic" w:hAnsi="Century Gothic" w:cs="Century Gothic"/>
      <w:b/>
      <w:bCs/>
      <w:sz w:val="20"/>
      <w:szCs w:val="20"/>
      <w:lang w:val="en-GB" w:eastAsia="en-GB" w:bidi="en-GB"/>
    </w:rPr>
  </w:style>
  <w:style w:type="paragraph" w:styleId="Revision">
    <w:name w:val="Revision"/>
    <w:hidden/>
    <w:uiPriority w:val="99"/>
    <w:semiHidden/>
    <w:rsid w:val="00706E6B"/>
    <w:pPr>
      <w:widowControl/>
      <w:autoSpaceDE/>
      <w:autoSpaceDN/>
    </w:pPr>
    <w:rPr>
      <w:rFonts w:ascii="Century Gothic" w:eastAsia="Century Gothic" w:hAnsi="Century Gothic" w:cs="Century Gothic"/>
      <w:lang w:val="en-GB" w:eastAsia="en-GB" w:bidi="en-GB"/>
    </w:rPr>
  </w:style>
  <w:style w:type="paragraph" w:customStyle="1" w:styleId="SectionHeading">
    <w:name w:val="SectionHeading"/>
    <w:basedOn w:val="Normal"/>
    <w:rsid w:val="00D3724E"/>
    <w:pPr>
      <w:widowControl/>
      <w:numPr>
        <w:ilvl w:val="1"/>
        <w:numId w:val="12"/>
      </w:numPr>
      <w:autoSpaceDE/>
      <w:autoSpaceDN/>
      <w:spacing w:after="200" w:line="276" w:lineRule="auto"/>
    </w:pPr>
    <w:rPr>
      <w:rFonts w:asciiTheme="minorHAnsi" w:eastAsiaTheme="minorHAnsi" w:hAnsiTheme="minorHAnsi" w:cstheme="minorBidi"/>
      <w:noProof/>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4726">
      <w:bodyDiv w:val="1"/>
      <w:marLeft w:val="0"/>
      <w:marRight w:val="0"/>
      <w:marTop w:val="0"/>
      <w:marBottom w:val="0"/>
      <w:divBdr>
        <w:top w:val="none" w:sz="0" w:space="0" w:color="auto"/>
        <w:left w:val="none" w:sz="0" w:space="0" w:color="auto"/>
        <w:bottom w:val="none" w:sz="0" w:space="0" w:color="auto"/>
        <w:right w:val="none" w:sz="0" w:space="0" w:color="auto"/>
      </w:divBdr>
    </w:div>
    <w:div w:id="275217382">
      <w:bodyDiv w:val="1"/>
      <w:marLeft w:val="0"/>
      <w:marRight w:val="0"/>
      <w:marTop w:val="0"/>
      <w:marBottom w:val="0"/>
      <w:divBdr>
        <w:top w:val="none" w:sz="0" w:space="0" w:color="auto"/>
        <w:left w:val="none" w:sz="0" w:space="0" w:color="auto"/>
        <w:bottom w:val="none" w:sz="0" w:space="0" w:color="auto"/>
        <w:right w:val="none" w:sz="0" w:space="0" w:color="auto"/>
      </w:divBdr>
    </w:div>
    <w:div w:id="811363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1EE74BA868B48B2675960B23E3BF5" ma:contentTypeVersion="12" ma:contentTypeDescription="Create a new document." ma:contentTypeScope="" ma:versionID="3f6c9f54c6a1746a67514278972cfb93">
  <xsd:schema xmlns:xsd="http://www.w3.org/2001/XMLSchema" xmlns:xs="http://www.w3.org/2001/XMLSchema" xmlns:p="http://schemas.microsoft.com/office/2006/metadata/properties" xmlns:ns2="88eea2b8-7b6b-4320-a2d4-c4f1f8632c99" xmlns:ns3="2c895cb1-cc58-483e-86ff-96e45a974e3b" targetNamespace="http://schemas.microsoft.com/office/2006/metadata/properties" ma:root="true" ma:fieldsID="82390be5e49db8f1e8d848bd67f76182" ns2:_="" ns3:_="">
    <xsd:import namespace="88eea2b8-7b6b-4320-a2d4-c4f1f8632c99"/>
    <xsd:import namespace="2c895cb1-cc58-483e-86ff-96e45a974e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ea2b8-7b6b-4320-a2d4-c4f1f8632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6f7b00-301e-4c89-b186-a05e1e58f3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895cb1-cc58-483e-86ff-96e45a974e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1308d8-55fe-4a89-a2db-d13907434f68}" ma:internalName="TaxCatchAll" ma:showField="CatchAllData" ma:web="2c895cb1-cc58-483e-86ff-96e45a974e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eea2b8-7b6b-4320-a2d4-c4f1f8632c99">
      <Terms xmlns="http://schemas.microsoft.com/office/infopath/2007/PartnerControls"/>
    </lcf76f155ced4ddcb4097134ff3c332f>
    <TaxCatchAll xmlns="2c895cb1-cc58-483e-86ff-96e45a974e3b" xsi:nil="true"/>
  </documentManagement>
</p:properties>
</file>

<file path=customXml/itemProps1.xml><?xml version="1.0" encoding="utf-8"?>
<ds:datastoreItem xmlns:ds="http://schemas.openxmlformats.org/officeDocument/2006/customXml" ds:itemID="{E8B3041F-1D32-4D1A-B57E-3714445DD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ea2b8-7b6b-4320-a2d4-c4f1f8632c99"/>
    <ds:schemaRef ds:uri="2c895cb1-cc58-483e-86ff-96e45a974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50F333-83F7-4EAE-A2D3-08A046CB7F80}">
  <ds:schemaRefs>
    <ds:schemaRef ds:uri="http://schemas.openxmlformats.org/officeDocument/2006/bibliography"/>
  </ds:schemaRefs>
</ds:datastoreItem>
</file>

<file path=customXml/itemProps3.xml><?xml version="1.0" encoding="utf-8"?>
<ds:datastoreItem xmlns:ds="http://schemas.openxmlformats.org/officeDocument/2006/customXml" ds:itemID="{E5900400-0BD4-4993-99BF-D215C8C9AD11}">
  <ds:schemaRefs>
    <ds:schemaRef ds:uri="http://schemas.microsoft.com/sharepoint/v3/contenttype/forms"/>
  </ds:schemaRefs>
</ds:datastoreItem>
</file>

<file path=customXml/itemProps4.xml><?xml version="1.0" encoding="utf-8"?>
<ds:datastoreItem xmlns:ds="http://schemas.openxmlformats.org/officeDocument/2006/customXml" ds:itemID="{C0BEB9EF-6328-442C-942C-21FCAA5CBE3D}">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88eea2b8-7b6b-4320-a2d4-c4f1f8632c99"/>
    <ds:schemaRef ds:uri="http://schemas.openxmlformats.org/package/2006/metadata/core-properties"/>
    <ds:schemaRef ds:uri="2c895cb1-cc58-483e-86ff-96e45a974e3b"/>
    <ds:schemaRef ds:uri="http://www.w3.org/XML/1998/namespace"/>
  </ds:schemaRefs>
</ds:datastoreItem>
</file>

<file path=docMetadata/LabelInfo.xml><?xml version="1.0" encoding="utf-8"?>
<clbl:labelList xmlns:clbl="http://schemas.microsoft.com/office/2020/mipLabelMetadata">
  <clbl:label id="{9d8d5eb8-2d34-4728-91b4-c69a1e01a91b}" enabled="1" method="Privileged" siteId="{4b4cca9c-edaf-42f3-8e21-9070c5d9d76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2528</Words>
  <Characters>14411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bolea</dc:creator>
  <cp:lastModifiedBy>Susan Woodlands</cp:lastModifiedBy>
  <cp:revision>2</cp:revision>
  <cp:lastPrinted>2020-12-03T17:26:00Z</cp:lastPrinted>
  <dcterms:created xsi:type="dcterms:W3CDTF">2023-05-25T16:24:00Z</dcterms:created>
  <dcterms:modified xsi:type="dcterms:W3CDTF">2023-05-25T16:24:00Z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Creator">
    <vt:lpwstr>Microsoft® Word for Office 365</vt:lpwstr>
  </property>
  <property fmtid="{D5CDD505-2E9C-101B-9397-08002B2CF9AE}" pid="4" name="LastSaved">
    <vt:filetime>2019-12-03T00:00:00Z</vt:filetime>
  </property>
  <property fmtid="{D5CDD505-2E9C-101B-9397-08002B2CF9AE}" pid="5" name="ContentTypeId">
    <vt:lpwstr>0x0101006751EE74BA868B48B2675960B23E3BF5</vt:lpwstr>
  </property>
  <property fmtid="{D5CDD505-2E9C-101B-9397-08002B2CF9AE}" pid="6" name="MSIP_Label_9d8d5eb8-2d34-4728-91b4-c69a1e01a91b_Enabled">
    <vt:lpwstr>true</vt:lpwstr>
  </property>
  <property fmtid="{D5CDD505-2E9C-101B-9397-08002B2CF9AE}" pid="7" name="MSIP_Label_9d8d5eb8-2d34-4728-91b4-c69a1e01a91b_SetDate">
    <vt:lpwstr>2022-05-09T18:31:15Z</vt:lpwstr>
  </property>
  <property fmtid="{D5CDD505-2E9C-101B-9397-08002B2CF9AE}" pid="8" name="MSIP_Label_9d8d5eb8-2d34-4728-91b4-c69a1e01a91b_Method">
    <vt:lpwstr>Privileged</vt:lpwstr>
  </property>
  <property fmtid="{D5CDD505-2E9C-101B-9397-08002B2CF9AE}" pid="9" name="MSIP_Label_9d8d5eb8-2d34-4728-91b4-c69a1e01a91b_Name">
    <vt:lpwstr>C1 Public Content</vt:lpwstr>
  </property>
  <property fmtid="{D5CDD505-2E9C-101B-9397-08002B2CF9AE}" pid="10" name="MSIP_Label_9d8d5eb8-2d34-4728-91b4-c69a1e01a91b_SiteId">
    <vt:lpwstr>4b4cca9c-edaf-42f3-8e21-9070c5d9d76b</vt:lpwstr>
  </property>
  <property fmtid="{D5CDD505-2E9C-101B-9397-08002B2CF9AE}" pid="11" name="MSIP_Label_9d8d5eb8-2d34-4728-91b4-c69a1e01a91b_ActionId">
    <vt:lpwstr>efd21a41-2cbf-4c11-8e27-6126c2c8f583</vt:lpwstr>
  </property>
  <property fmtid="{D5CDD505-2E9C-101B-9397-08002B2CF9AE}" pid="12" name="MSIP_Label_9d8d5eb8-2d34-4728-91b4-c69a1e01a91b_ContentBits">
    <vt:lpwstr>0</vt:lpwstr>
  </property>
  <property fmtid="{D5CDD505-2E9C-101B-9397-08002B2CF9AE}" pid="13" name="MediaServiceImageTags">
    <vt:lpwstr/>
  </property>
</Properties>
</file>